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pStyle w:val="75"/>
        <w:spacing w:after="0" w:line="360" w:lineRule="auto"/>
        <w:jc w:val="center"/>
        <w:rPr>
          <w:rFonts w:eastAsia="宋体"/>
          <w:sz w:val="52"/>
          <w:szCs w:val="52"/>
        </w:rPr>
      </w:pPr>
      <w:bookmarkStart w:id="0" w:name="_Toc174240589"/>
      <w:bookmarkStart w:id="161" w:name="_GoBack"/>
      <w:bookmarkEnd w:id="161"/>
      <w:r>
        <w:rPr>
          <w:rFonts w:eastAsia="宋体"/>
          <w:sz w:val="52"/>
          <w:szCs w:val="52"/>
        </w:rPr>
        <w:t xml:space="preserve"> </w:t>
      </w:r>
    </w:p>
    <w:p>
      <w:pPr>
        <w:pStyle w:val="75"/>
        <w:spacing w:after="0" w:line="360" w:lineRule="auto"/>
        <w:ind w:firstLine="0"/>
        <w:rPr>
          <w:rFonts w:eastAsia="宋体"/>
          <w:sz w:val="52"/>
          <w:szCs w:val="52"/>
        </w:rPr>
      </w:pPr>
    </w:p>
    <w:tbl>
      <w:tblPr>
        <w:tblStyle w:val="59"/>
        <w:tblW w:w="9464" w:type="dxa"/>
        <w:jc w:val="center"/>
        <w:tblInd w:w="0" w:type="dxa"/>
        <w:tblLayout w:type="fixed"/>
        <w:tblCellMar>
          <w:top w:w="0" w:type="dxa"/>
          <w:left w:w="108" w:type="dxa"/>
          <w:bottom w:w="0" w:type="dxa"/>
          <w:right w:w="108" w:type="dxa"/>
        </w:tblCellMar>
      </w:tblPr>
      <w:tblGrid>
        <w:gridCol w:w="9464"/>
      </w:tblGrid>
      <w:tr>
        <w:tblPrEx>
          <w:tblLayout w:type="fixed"/>
          <w:tblCellMar>
            <w:top w:w="0" w:type="dxa"/>
            <w:left w:w="108" w:type="dxa"/>
            <w:bottom w:w="0" w:type="dxa"/>
            <w:right w:w="108" w:type="dxa"/>
          </w:tblCellMar>
        </w:tblPrEx>
        <w:trPr>
          <w:trHeight w:val="1047" w:hRule="atLeast"/>
          <w:jc w:val="center"/>
        </w:trPr>
        <w:tc>
          <w:tcPr>
            <w:tcW w:w="9464" w:type="dxa"/>
            <w:vAlign w:val="center"/>
          </w:tcPr>
          <w:p>
            <w:pPr>
              <w:pStyle w:val="95"/>
              <w:spacing w:line="500" w:lineRule="atLeast"/>
              <w:outlineLvl w:val="9"/>
              <w:rPr>
                <w:rFonts w:ascii="Times New Roman"/>
                <w:spacing w:val="8"/>
                <w:sz w:val="48"/>
                <w:szCs w:val="48"/>
              </w:rPr>
            </w:pPr>
            <w:bookmarkStart w:id="1" w:name="_Toc428778986"/>
            <w:bookmarkStart w:id="2" w:name="_Toc429513528"/>
            <w:bookmarkStart w:id="3" w:name="_Toc429639282"/>
            <w:bookmarkStart w:id="4" w:name="_Toc430332874"/>
            <w:bookmarkStart w:id="5" w:name="_Toc430618513"/>
            <w:bookmarkStart w:id="6" w:name="_Toc433723050"/>
            <w:bookmarkStart w:id="7" w:name="_Toc435657796"/>
            <w:bookmarkStart w:id="8" w:name="_Toc435690375"/>
            <w:r>
              <w:rPr>
                <w:rFonts w:ascii="Times New Roman"/>
                <w:spacing w:val="8"/>
                <w:szCs w:val="48"/>
              </w:rPr>
              <w:t>南京鼎邦网络科技有限公司</w:t>
            </w:r>
            <w:bookmarkEnd w:id="1"/>
            <w:bookmarkEnd w:id="2"/>
            <w:bookmarkEnd w:id="3"/>
            <w:bookmarkEnd w:id="4"/>
            <w:bookmarkEnd w:id="5"/>
            <w:bookmarkEnd w:id="6"/>
            <w:bookmarkEnd w:id="7"/>
            <w:bookmarkEnd w:id="8"/>
          </w:p>
        </w:tc>
      </w:tr>
      <w:tr>
        <w:tblPrEx>
          <w:tblLayout w:type="fixed"/>
          <w:tblCellMar>
            <w:top w:w="0" w:type="dxa"/>
            <w:left w:w="108" w:type="dxa"/>
            <w:bottom w:w="0" w:type="dxa"/>
            <w:right w:w="108" w:type="dxa"/>
          </w:tblCellMar>
        </w:tblPrEx>
        <w:trPr>
          <w:trHeight w:val="1503" w:hRule="atLeast"/>
          <w:jc w:val="center"/>
        </w:trPr>
        <w:tc>
          <w:tcPr>
            <w:tcW w:w="9464" w:type="dxa"/>
            <w:vAlign w:val="center"/>
          </w:tcPr>
          <w:p>
            <w:pPr>
              <w:pStyle w:val="95"/>
              <w:spacing w:line="500" w:lineRule="atLeast"/>
              <w:outlineLvl w:val="9"/>
              <w:rPr>
                <w:rFonts w:ascii="Times New Roman"/>
                <w:spacing w:val="8"/>
                <w:sz w:val="48"/>
                <w:szCs w:val="48"/>
              </w:rPr>
            </w:pPr>
            <w:bookmarkStart w:id="9" w:name="_Toc418443687"/>
            <w:bookmarkStart w:id="10" w:name="_Toc428778987"/>
            <w:bookmarkStart w:id="11" w:name="_Toc429513529"/>
            <w:bookmarkStart w:id="12" w:name="_Toc429639283"/>
            <w:bookmarkStart w:id="13" w:name="_Toc430332875"/>
            <w:bookmarkStart w:id="14" w:name="_Toc430618514"/>
            <w:bookmarkStart w:id="15" w:name="_Toc433723051"/>
            <w:bookmarkStart w:id="16" w:name="_Toc435657797"/>
            <w:bookmarkStart w:id="17" w:name="_Toc435690376"/>
            <w:r>
              <w:rPr>
                <w:rFonts w:ascii="Times New Roman"/>
                <w:spacing w:val="8"/>
                <w:szCs w:val="48"/>
              </w:rPr>
              <w:t>雨花物流自动化二期项目</w:t>
            </w:r>
            <w:bookmarkEnd w:id="9"/>
            <w:bookmarkEnd w:id="10"/>
            <w:bookmarkEnd w:id="11"/>
            <w:bookmarkEnd w:id="12"/>
            <w:bookmarkEnd w:id="13"/>
            <w:bookmarkEnd w:id="14"/>
            <w:bookmarkEnd w:id="15"/>
            <w:bookmarkEnd w:id="16"/>
            <w:bookmarkEnd w:id="17"/>
          </w:p>
        </w:tc>
      </w:tr>
    </w:tbl>
    <w:p>
      <w:pPr>
        <w:pStyle w:val="46"/>
        <w:spacing w:line="900" w:lineRule="exact"/>
        <w:jc w:val="center"/>
        <w:rPr>
          <w:sz w:val="52"/>
          <w:szCs w:val="72"/>
        </w:rPr>
      </w:pPr>
      <w:r>
        <w:rPr>
          <w:b/>
          <w:sz w:val="72"/>
          <w:szCs w:val="72"/>
        </w:rPr>
        <w:t>环境影响专项评价</w:t>
      </w:r>
    </w:p>
    <w:p>
      <w:pPr>
        <w:jc w:val="center"/>
        <w:rPr>
          <w:sz w:val="44"/>
        </w:rPr>
      </w:pPr>
      <w:r>
        <w:rPr>
          <w:sz w:val="44"/>
        </w:rPr>
        <w:t>（</w:t>
      </w:r>
      <w:r>
        <w:rPr>
          <w:rFonts w:hint="eastAsia"/>
          <w:sz w:val="44"/>
        </w:rPr>
        <w:t>工程分析及声</w:t>
      </w:r>
      <w:r>
        <w:rPr>
          <w:sz w:val="44"/>
        </w:rPr>
        <w:t>环境影响分析）</w:t>
      </w:r>
    </w:p>
    <w:p>
      <w:pPr>
        <w:jc w:val="center"/>
        <w:rPr>
          <w:sz w:val="44"/>
        </w:rPr>
      </w:pPr>
    </w:p>
    <w:p>
      <w:pPr>
        <w:jc w:val="center"/>
        <w:rPr>
          <w:sz w:val="44"/>
        </w:rPr>
      </w:pPr>
    </w:p>
    <w:p>
      <w:pPr>
        <w:jc w:val="center"/>
        <w:rPr>
          <w:sz w:val="44"/>
        </w:rPr>
      </w:pPr>
    </w:p>
    <w:p>
      <w:pPr>
        <w:jc w:val="center"/>
        <w:rPr>
          <w:sz w:val="44"/>
        </w:rPr>
      </w:pPr>
    </w:p>
    <w:p>
      <w:pPr>
        <w:jc w:val="center"/>
        <w:rPr>
          <w:sz w:val="44"/>
        </w:rPr>
      </w:pPr>
    </w:p>
    <w:p>
      <w:pPr>
        <w:jc w:val="center"/>
        <w:rPr>
          <w:sz w:val="44"/>
        </w:rPr>
      </w:pPr>
    </w:p>
    <w:p>
      <w:pPr>
        <w:jc w:val="center"/>
        <w:rPr>
          <w:sz w:val="44"/>
        </w:rPr>
      </w:pPr>
    </w:p>
    <w:p>
      <w:pPr>
        <w:jc w:val="center"/>
        <w:rPr>
          <w:sz w:val="44"/>
        </w:rPr>
      </w:pPr>
    </w:p>
    <w:p>
      <w:pPr>
        <w:rPr>
          <w:sz w:val="44"/>
        </w:rPr>
      </w:pPr>
    </w:p>
    <w:p>
      <w:pPr>
        <w:spacing w:line="360" w:lineRule="auto"/>
        <w:jc w:val="center"/>
        <w:rPr>
          <w:bCs/>
          <w:sz w:val="30"/>
          <w:szCs w:val="30"/>
        </w:rPr>
      </w:pPr>
      <w:r>
        <w:rPr>
          <w:rFonts w:hint="eastAsia"/>
          <w:bCs/>
          <w:sz w:val="30"/>
          <w:szCs w:val="30"/>
        </w:rPr>
        <w:t>南京鼎邦网络科技有限公司</w:t>
      </w:r>
    </w:p>
    <w:p>
      <w:pPr>
        <w:spacing w:line="360" w:lineRule="auto"/>
        <w:jc w:val="center"/>
        <w:rPr>
          <w:sz w:val="30"/>
          <w:szCs w:val="30"/>
        </w:rPr>
        <w:sectPr>
          <w:headerReference r:id="rId3" w:type="default"/>
          <w:footerReference r:id="rId4" w:type="default"/>
          <w:footerReference r:id="rId5" w:type="even"/>
          <w:pgSz w:w="11906" w:h="16838"/>
          <w:pgMar w:top="1440" w:right="1800" w:bottom="1440" w:left="1800" w:header="851" w:footer="992" w:gutter="0"/>
          <w:pgNumType w:fmt="lowerRoman" w:start="1"/>
          <w:cols w:space="425" w:num="1"/>
          <w:titlePg/>
          <w:docGrid w:type="lines" w:linePitch="312" w:charSpace="0"/>
        </w:sectPr>
      </w:pPr>
      <w:r>
        <w:rPr>
          <w:sz w:val="30"/>
          <w:szCs w:val="30"/>
        </w:rPr>
        <w:t>201</w:t>
      </w:r>
      <w:r>
        <w:rPr>
          <w:rFonts w:hint="eastAsia"/>
          <w:sz w:val="30"/>
          <w:szCs w:val="30"/>
        </w:rPr>
        <w:t>5</w:t>
      </w:r>
      <w:r>
        <w:rPr>
          <w:sz w:val="30"/>
          <w:szCs w:val="30"/>
        </w:rPr>
        <w:t>年</w:t>
      </w:r>
      <w:r>
        <w:rPr>
          <w:rFonts w:hint="eastAsia"/>
          <w:sz w:val="30"/>
          <w:szCs w:val="30"/>
        </w:rPr>
        <w:t>11</w:t>
      </w:r>
      <w:r>
        <w:rPr>
          <w:sz w:val="30"/>
          <w:szCs w:val="30"/>
        </w:rPr>
        <w:t>月</w:t>
      </w:r>
    </w:p>
    <w:p>
      <w:pPr>
        <w:spacing w:line="360" w:lineRule="auto"/>
        <w:jc w:val="center"/>
        <w:rPr>
          <w:sz w:val="30"/>
          <w:szCs w:val="30"/>
        </w:rPr>
        <w:sectPr>
          <w:pgSz w:w="11906" w:h="16838"/>
          <w:pgMar w:top="1440" w:right="1800" w:bottom="1440" w:left="1800" w:header="851" w:footer="992" w:gutter="0"/>
          <w:pgNumType w:fmt="lowerRoman" w:start="1"/>
          <w:cols w:space="425" w:num="1"/>
          <w:titlePg/>
          <w:docGrid w:type="lines" w:linePitch="312" w:charSpace="0"/>
        </w:sectPr>
      </w:pPr>
    </w:p>
    <w:p>
      <w:pPr>
        <w:jc w:val="center"/>
        <w:rPr>
          <w:lang w:val="zh-CN" w:eastAsia="zh-CN"/>
        </w:rPr>
      </w:pPr>
      <w:r>
        <w:rPr>
          <w:sz w:val="44"/>
          <w:szCs w:val="44"/>
        </w:rPr>
        <w:t>目  录</w:t>
      </w:r>
      <w:r>
        <w:fldChar w:fldCharType="begin"/>
      </w:r>
      <w:r>
        <w:instrText xml:space="preserve"> TOC \o "1-3" \h \z \u </w:instrText>
      </w:r>
      <w:r>
        <w:fldChar w:fldCharType="separate"/>
      </w:r>
    </w:p>
    <w:p>
      <w:pPr>
        <w:pStyle w:val="38"/>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"_Toc435690377"</w:instrText>
      </w:r>
      <w:r>
        <w:rPr>
          <w:rStyle w:val="57"/>
          <w:lang w:val="zh-CN" w:eastAsia="zh-CN"/>
        </w:rPr>
        <w:instrText xml:space="preserve"> </w:instrText>
      </w:r>
      <w:r>
        <w:rPr>
          <w:rStyle w:val="57"/>
          <w:lang w:val="zh-CN" w:eastAsia="zh-CN"/>
        </w:rPr>
        <w:fldChar w:fldCharType="separate"/>
      </w:r>
      <w:r>
        <w:rPr>
          <w:rStyle w:val="57"/>
          <w:b/>
          <w:lang w:val="zh-CN" w:eastAsia="zh-CN"/>
        </w:rPr>
        <w:t>1</w:t>
      </w:r>
      <w:r>
        <w:rPr>
          <w:rStyle w:val="57"/>
          <w:rFonts w:hint="eastAsia"/>
          <w:b/>
          <w:lang w:val="zh-CN" w:eastAsia="zh-CN"/>
        </w:rPr>
        <w:t>前言</w:t>
      </w:r>
      <w:r>
        <w:rPr>
          <w:lang w:val="zh-CN" w:eastAsia="zh-CN"/>
        </w:rPr>
        <w:tab/>
      </w:r>
      <w:r>
        <w:rPr>
          <w:lang w:val="zh-CN" w:eastAsia="zh-CN"/>
        </w:rPr>
        <w:fldChar w:fldCharType="begin"/>
      </w:r>
      <w:r>
        <w:rPr>
          <w:lang w:val="zh-CN" w:eastAsia="zh-CN"/>
        </w:rPr>
        <w:instrText xml:space="preserve"> PAGEREF _Toc435690377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"_Toc435690378"</w:instrText>
      </w:r>
      <w:r>
        <w:rPr>
          <w:rStyle w:val="57"/>
          <w:lang w:val="zh-CN" w:eastAsia="zh-CN"/>
        </w:rPr>
        <w:instrText xml:space="preserve"> </w:instrText>
      </w:r>
      <w:r>
        <w:rPr>
          <w:rStyle w:val="57"/>
          <w:lang w:val="zh-CN" w:eastAsia="zh-CN"/>
        </w:rPr>
        <w:fldChar w:fldCharType="separate"/>
      </w:r>
      <w:r>
        <w:rPr>
          <w:rStyle w:val="57"/>
          <w:b/>
          <w:bCs/>
          <w:lang w:val="zh-CN" w:eastAsia="zh-CN"/>
        </w:rPr>
        <w:t>1.1</w:t>
      </w:r>
      <w:r>
        <w:rPr>
          <w:rStyle w:val="57"/>
          <w:rFonts w:hint="eastAsia"/>
          <w:b/>
          <w:bCs/>
          <w:lang w:val="zh-CN" w:eastAsia="zh-CN"/>
        </w:rPr>
        <w:t>项目由来</w:t>
      </w:r>
      <w:r>
        <w:rPr>
          <w:lang w:val="zh-CN" w:eastAsia="zh-CN"/>
        </w:rPr>
        <w:tab/>
      </w:r>
      <w:r>
        <w:rPr>
          <w:lang w:val="zh-CN" w:eastAsia="zh-CN"/>
        </w:rPr>
        <w:fldChar w:fldCharType="begin"/>
      </w:r>
      <w:r>
        <w:rPr>
          <w:lang w:val="zh-CN" w:eastAsia="zh-CN"/>
        </w:rPr>
        <w:instrText xml:space="preserve"> PAGEREF _Toc435690378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"_Toc435690379"</w:instrText>
      </w:r>
      <w:r>
        <w:rPr>
          <w:rStyle w:val="57"/>
          <w:lang w:val="zh-CN" w:eastAsia="zh-CN"/>
        </w:rPr>
        <w:instrText xml:space="preserve"> </w:instrText>
      </w:r>
      <w:r>
        <w:rPr>
          <w:rStyle w:val="57"/>
          <w:lang w:val="zh-CN" w:eastAsia="zh-CN"/>
        </w:rPr>
        <w:fldChar w:fldCharType="separate"/>
      </w:r>
      <w:r>
        <w:rPr>
          <w:rStyle w:val="57"/>
          <w:b/>
          <w:bCs/>
          <w:lang w:val="zh-CN" w:eastAsia="zh-CN"/>
        </w:rPr>
        <w:t xml:space="preserve">1.2 </w:t>
      </w:r>
      <w:r>
        <w:rPr>
          <w:rStyle w:val="57"/>
          <w:rFonts w:hint="eastAsia"/>
          <w:b/>
          <w:bCs/>
          <w:lang w:val="zh-CN" w:eastAsia="zh-CN"/>
        </w:rPr>
        <w:t>编制依据</w:t>
      </w:r>
      <w:r>
        <w:rPr>
          <w:lang w:val="zh-CN" w:eastAsia="zh-CN"/>
        </w:rPr>
        <w:tab/>
      </w:r>
      <w:r>
        <w:rPr>
          <w:lang w:val="zh-CN" w:eastAsia="zh-CN"/>
        </w:rPr>
        <w:fldChar w:fldCharType="begin"/>
      </w:r>
      <w:r>
        <w:rPr>
          <w:lang w:val="zh-CN" w:eastAsia="zh-CN"/>
        </w:rPr>
        <w:instrText xml:space="preserve"> PAGEREF _Toc435690379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"_Toc435690380"</w:instrText>
      </w:r>
      <w:r>
        <w:rPr>
          <w:rStyle w:val="57"/>
          <w:lang w:val="zh-CN" w:eastAsia="zh-CN"/>
        </w:rPr>
        <w:instrText xml:space="preserve"> </w:instrText>
      </w:r>
      <w:r>
        <w:rPr>
          <w:rStyle w:val="57"/>
          <w:lang w:val="zh-CN" w:eastAsia="zh-CN"/>
        </w:rPr>
        <w:fldChar w:fldCharType="separate"/>
      </w:r>
      <w:r>
        <w:rPr>
          <w:rStyle w:val="57"/>
          <w:lang w:val="zh-CN" w:eastAsia="zh-CN"/>
        </w:rPr>
        <w:t>1.2.1</w:t>
      </w:r>
      <w:r>
        <w:rPr>
          <w:rStyle w:val="57"/>
          <w:rFonts w:hint="eastAsia"/>
          <w:lang w:val="zh-CN" w:eastAsia="zh-CN"/>
        </w:rPr>
        <w:t>政策法规</w:t>
      </w:r>
      <w:r>
        <w:rPr>
          <w:lang w:val="zh-CN" w:eastAsia="zh-CN"/>
        </w:rPr>
        <w:tab/>
      </w:r>
      <w:r>
        <w:rPr>
          <w:lang w:val="zh-CN" w:eastAsia="zh-CN"/>
        </w:rPr>
        <w:fldChar w:fldCharType="begin"/>
      </w:r>
      <w:r>
        <w:rPr>
          <w:lang w:val="zh-CN" w:eastAsia="zh-CN"/>
        </w:rPr>
        <w:instrText xml:space="preserve"> PAGEREF _Toc435690380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"_Toc435690381"</w:instrText>
      </w:r>
      <w:r>
        <w:rPr>
          <w:rStyle w:val="57"/>
          <w:lang w:val="zh-CN" w:eastAsia="zh-CN"/>
        </w:rPr>
        <w:instrText xml:space="preserve"> </w:instrText>
      </w:r>
      <w:r>
        <w:rPr>
          <w:rStyle w:val="57"/>
          <w:lang w:val="zh-CN" w:eastAsia="zh-CN"/>
        </w:rPr>
        <w:fldChar w:fldCharType="separate"/>
      </w:r>
      <w:r>
        <w:rPr>
          <w:rStyle w:val="57"/>
          <w:lang w:val="zh-CN" w:eastAsia="zh-CN"/>
        </w:rPr>
        <w:t xml:space="preserve">1.2.2 </w:t>
      </w:r>
      <w:r>
        <w:rPr>
          <w:rStyle w:val="57"/>
          <w:rFonts w:hint="eastAsia"/>
          <w:lang w:val="zh-CN" w:eastAsia="zh-CN"/>
        </w:rPr>
        <w:t>评价技术导则</w:t>
      </w:r>
      <w:r>
        <w:rPr>
          <w:lang w:val="zh-CN" w:eastAsia="zh-CN"/>
        </w:rPr>
        <w:tab/>
      </w:r>
      <w:r>
        <w:rPr>
          <w:lang w:val="zh-CN" w:eastAsia="zh-CN"/>
        </w:rPr>
        <w:fldChar w:fldCharType="begin"/>
      </w:r>
      <w:r>
        <w:rPr>
          <w:lang w:val="zh-CN" w:eastAsia="zh-CN"/>
        </w:rPr>
        <w:instrText xml:space="preserve"> PAGEREF _Toc435690381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"_Toc435690382"</w:instrText>
      </w:r>
      <w:r>
        <w:rPr>
          <w:rStyle w:val="57"/>
          <w:lang w:val="zh-CN" w:eastAsia="zh-CN"/>
        </w:rPr>
        <w:instrText xml:space="preserve"> </w:instrText>
      </w:r>
      <w:r>
        <w:rPr>
          <w:rStyle w:val="57"/>
          <w:lang w:val="zh-CN" w:eastAsia="zh-CN"/>
        </w:rPr>
        <w:fldChar w:fldCharType="separate"/>
      </w:r>
      <w:r>
        <w:rPr>
          <w:rStyle w:val="57"/>
          <w:lang w:val="zh-CN" w:eastAsia="zh-CN"/>
        </w:rPr>
        <w:t>1.2.3</w:t>
      </w:r>
      <w:r>
        <w:rPr>
          <w:rStyle w:val="57"/>
          <w:rFonts w:hint="eastAsia"/>
          <w:lang w:val="zh-CN" w:eastAsia="zh-CN"/>
        </w:rPr>
        <w:t>项目其它相关文件</w:t>
      </w:r>
      <w:r>
        <w:rPr>
          <w:lang w:val="zh-CN" w:eastAsia="zh-CN"/>
        </w:rPr>
        <w:tab/>
      </w:r>
      <w:r>
        <w:rPr>
          <w:lang w:val="zh-CN" w:eastAsia="zh-CN"/>
        </w:rPr>
        <w:fldChar w:fldCharType="begin"/>
      </w:r>
      <w:r>
        <w:rPr>
          <w:lang w:val="zh-CN" w:eastAsia="zh-CN"/>
        </w:rPr>
        <w:instrText xml:space="preserve"> PAGEREF _Toc435690382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"_Toc435690383"</w:instrText>
      </w:r>
      <w:r>
        <w:rPr>
          <w:rStyle w:val="57"/>
          <w:lang w:val="zh-CN" w:eastAsia="zh-CN"/>
        </w:rPr>
        <w:instrText xml:space="preserve"> </w:instrText>
      </w:r>
      <w:r>
        <w:rPr>
          <w:rStyle w:val="57"/>
          <w:lang w:val="zh-CN" w:eastAsia="zh-CN"/>
        </w:rPr>
        <w:fldChar w:fldCharType="separate"/>
      </w:r>
      <w:r>
        <w:rPr>
          <w:rStyle w:val="57"/>
          <w:b/>
          <w:bCs/>
          <w:lang w:val="zh-CN" w:eastAsia="zh-CN"/>
        </w:rPr>
        <w:t xml:space="preserve">1.3 </w:t>
      </w:r>
      <w:r>
        <w:rPr>
          <w:rStyle w:val="57"/>
          <w:rFonts w:hint="eastAsia"/>
          <w:b/>
          <w:bCs/>
          <w:lang w:val="zh-CN" w:eastAsia="zh-CN"/>
        </w:rPr>
        <w:t>评价目的</w:t>
      </w:r>
      <w:r>
        <w:rPr>
          <w:lang w:val="zh-CN" w:eastAsia="zh-CN"/>
        </w:rPr>
        <w:tab/>
      </w:r>
      <w:r>
        <w:rPr>
          <w:lang w:val="zh-CN" w:eastAsia="zh-CN"/>
        </w:rPr>
        <w:fldChar w:fldCharType="begin"/>
      </w:r>
      <w:r>
        <w:rPr>
          <w:lang w:val="zh-CN" w:eastAsia="zh-CN"/>
        </w:rPr>
        <w:instrText xml:space="preserve"> PAGEREF _Toc435690383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"_Toc435690384"</w:instrText>
      </w:r>
      <w:r>
        <w:rPr>
          <w:rStyle w:val="57"/>
          <w:lang w:val="zh-CN" w:eastAsia="zh-CN"/>
        </w:rPr>
        <w:instrText xml:space="preserve"> </w:instrText>
      </w:r>
      <w:r>
        <w:rPr>
          <w:rStyle w:val="57"/>
          <w:lang w:val="zh-CN" w:eastAsia="zh-CN"/>
        </w:rPr>
        <w:fldChar w:fldCharType="separate"/>
      </w:r>
      <w:r>
        <w:rPr>
          <w:rStyle w:val="57"/>
          <w:b/>
          <w:bCs/>
          <w:lang w:val="zh-CN" w:eastAsia="zh-CN"/>
        </w:rPr>
        <w:t xml:space="preserve">1.4 </w:t>
      </w:r>
      <w:r>
        <w:rPr>
          <w:rStyle w:val="57"/>
          <w:rFonts w:hint="eastAsia"/>
          <w:b/>
          <w:bCs/>
          <w:lang w:val="zh-CN" w:eastAsia="zh-CN"/>
        </w:rPr>
        <w:t>保护目标</w:t>
      </w:r>
      <w:r>
        <w:rPr>
          <w:lang w:val="zh-CN" w:eastAsia="zh-CN"/>
        </w:rPr>
        <w:tab/>
      </w:r>
      <w:r>
        <w:rPr>
          <w:lang w:val="zh-CN" w:eastAsia="zh-CN"/>
        </w:rPr>
        <w:fldChar w:fldCharType="begin"/>
      </w:r>
      <w:r>
        <w:rPr>
          <w:lang w:val="zh-CN" w:eastAsia="zh-CN"/>
        </w:rPr>
        <w:instrText xml:space="preserve"> PAGEREF _Toc435690384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"_Toc435690385"</w:instrText>
      </w:r>
      <w:r>
        <w:rPr>
          <w:rStyle w:val="57"/>
          <w:lang w:val="zh-CN" w:eastAsia="zh-CN"/>
        </w:rPr>
        <w:instrText xml:space="preserve"> </w:instrText>
      </w:r>
      <w:r>
        <w:rPr>
          <w:rStyle w:val="57"/>
          <w:lang w:val="zh-CN" w:eastAsia="zh-CN"/>
        </w:rPr>
        <w:fldChar w:fldCharType="separate"/>
      </w:r>
      <w:r>
        <w:rPr>
          <w:rStyle w:val="57"/>
          <w:b/>
          <w:bCs/>
          <w:lang w:val="zh-CN" w:eastAsia="zh-CN"/>
        </w:rPr>
        <w:t xml:space="preserve">1.5 </w:t>
      </w:r>
      <w:r>
        <w:rPr>
          <w:rStyle w:val="57"/>
          <w:rFonts w:hint="eastAsia"/>
          <w:b/>
          <w:bCs/>
          <w:lang w:val="zh-CN" w:eastAsia="zh-CN"/>
        </w:rPr>
        <w:t>评价标准</w:t>
      </w:r>
      <w:r>
        <w:rPr>
          <w:lang w:val="zh-CN" w:eastAsia="zh-CN"/>
        </w:rPr>
        <w:tab/>
      </w:r>
      <w:r>
        <w:rPr>
          <w:lang w:val="zh-CN" w:eastAsia="zh-CN"/>
        </w:rPr>
        <w:fldChar w:fldCharType="begin"/>
      </w:r>
      <w:r>
        <w:rPr>
          <w:lang w:val="zh-CN" w:eastAsia="zh-CN"/>
        </w:rPr>
        <w:instrText xml:space="preserve"> PAGEREF _Toc435690385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"_Toc435690386"</w:instrText>
      </w:r>
      <w:r>
        <w:rPr>
          <w:rStyle w:val="57"/>
          <w:lang w:val="zh-CN" w:eastAsia="zh-CN"/>
        </w:rPr>
        <w:instrText xml:space="preserve"> </w:instrText>
      </w:r>
      <w:r>
        <w:rPr>
          <w:rStyle w:val="57"/>
          <w:lang w:val="zh-CN" w:eastAsia="zh-CN"/>
        </w:rPr>
        <w:fldChar w:fldCharType="separate"/>
      </w:r>
      <w:r>
        <w:rPr>
          <w:rStyle w:val="57"/>
          <w:lang w:val="zh-CN" w:eastAsia="zh-CN"/>
        </w:rPr>
        <w:t>1.5.1</w:t>
      </w:r>
      <w:r>
        <w:rPr>
          <w:rStyle w:val="57"/>
          <w:rFonts w:hint="eastAsia"/>
          <w:lang w:val="zh-CN" w:eastAsia="zh-CN"/>
        </w:rPr>
        <w:t>环境空气质量标准和大气污染物排放标准</w:t>
      </w:r>
      <w:r>
        <w:rPr>
          <w:lang w:val="zh-CN" w:eastAsia="zh-CN"/>
        </w:rPr>
        <w:tab/>
      </w:r>
      <w:r>
        <w:rPr>
          <w:lang w:val="zh-CN" w:eastAsia="zh-CN"/>
        </w:rPr>
        <w:fldChar w:fldCharType="begin"/>
      </w:r>
      <w:r>
        <w:rPr>
          <w:lang w:val="zh-CN" w:eastAsia="zh-CN"/>
        </w:rPr>
        <w:instrText xml:space="preserve"> PAGEREF _Toc435690386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"_Toc435690387"</w:instrText>
      </w:r>
      <w:r>
        <w:rPr>
          <w:rStyle w:val="57"/>
          <w:lang w:val="zh-CN" w:eastAsia="zh-CN"/>
        </w:rPr>
        <w:instrText xml:space="preserve"> </w:instrText>
      </w:r>
      <w:r>
        <w:rPr>
          <w:rStyle w:val="57"/>
          <w:lang w:val="zh-CN" w:eastAsia="zh-CN"/>
        </w:rPr>
        <w:fldChar w:fldCharType="separate"/>
      </w:r>
      <w:r>
        <w:rPr>
          <w:rStyle w:val="57"/>
          <w:lang w:val="zh-CN" w:eastAsia="zh-CN"/>
        </w:rPr>
        <w:t>1.5.2</w:t>
      </w:r>
      <w:r>
        <w:rPr>
          <w:rStyle w:val="57"/>
          <w:rFonts w:hint="eastAsia"/>
          <w:lang w:val="zh-CN" w:eastAsia="zh-CN"/>
        </w:rPr>
        <w:t>地表水环境质量标准和废水排放标准</w:t>
      </w:r>
      <w:r>
        <w:rPr>
          <w:lang w:val="zh-CN" w:eastAsia="zh-CN"/>
        </w:rPr>
        <w:tab/>
      </w:r>
      <w:r>
        <w:rPr>
          <w:lang w:val="zh-CN" w:eastAsia="zh-CN"/>
        </w:rPr>
        <w:fldChar w:fldCharType="begin"/>
      </w:r>
      <w:r>
        <w:rPr>
          <w:lang w:val="zh-CN" w:eastAsia="zh-CN"/>
        </w:rPr>
        <w:instrText xml:space="preserve"> PAGEREF _Toc435690387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"_Toc435690388"</w:instrText>
      </w:r>
      <w:r>
        <w:rPr>
          <w:rStyle w:val="57"/>
          <w:lang w:val="zh-CN" w:eastAsia="zh-CN"/>
        </w:rPr>
        <w:instrText xml:space="preserve"> </w:instrText>
      </w:r>
      <w:r>
        <w:rPr>
          <w:rStyle w:val="57"/>
          <w:lang w:val="zh-CN" w:eastAsia="zh-CN"/>
        </w:rPr>
        <w:fldChar w:fldCharType="separate"/>
      </w:r>
      <w:r>
        <w:rPr>
          <w:rStyle w:val="57"/>
          <w:lang w:val="zh-CN" w:eastAsia="zh-CN"/>
        </w:rPr>
        <w:t>1.5.3</w:t>
      </w:r>
      <w:r>
        <w:rPr>
          <w:rStyle w:val="57"/>
          <w:rFonts w:hint="eastAsia"/>
          <w:lang w:val="zh-CN" w:eastAsia="zh-CN"/>
        </w:rPr>
        <w:t>声环境质量标准和噪声排放标准</w:t>
      </w:r>
      <w:r>
        <w:rPr>
          <w:lang w:val="zh-CN" w:eastAsia="zh-CN"/>
        </w:rPr>
        <w:tab/>
      </w:r>
      <w:r>
        <w:rPr>
          <w:lang w:val="zh-CN" w:eastAsia="zh-CN"/>
        </w:rPr>
        <w:fldChar w:fldCharType="begin"/>
      </w:r>
      <w:r>
        <w:rPr>
          <w:lang w:val="zh-CN" w:eastAsia="zh-CN"/>
        </w:rPr>
        <w:instrText xml:space="preserve"> PAGEREF _Toc435690388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"_Toc435690389"</w:instrText>
      </w:r>
      <w:r>
        <w:rPr>
          <w:rStyle w:val="57"/>
          <w:lang w:val="zh-CN" w:eastAsia="zh-CN"/>
        </w:rPr>
        <w:instrText xml:space="preserve"> </w:instrText>
      </w:r>
      <w:r>
        <w:rPr>
          <w:rStyle w:val="57"/>
          <w:lang w:val="zh-CN" w:eastAsia="zh-CN"/>
        </w:rPr>
        <w:fldChar w:fldCharType="separate"/>
      </w:r>
      <w:r>
        <w:rPr>
          <w:rStyle w:val="57"/>
          <w:lang w:val="zh-CN" w:eastAsia="zh-CN"/>
        </w:rPr>
        <w:t>1.5.4</w:t>
      </w:r>
      <w:r>
        <w:rPr>
          <w:rStyle w:val="57"/>
          <w:rFonts w:hint="eastAsia"/>
          <w:lang w:val="zh-CN" w:eastAsia="zh-CN"/>
        </w:rPr>
        <w:t>地下水环境质量标准</w:t>
      </w:r>
      <w:r>
        <w:rPr>
          <w:lang w:val="zh-CN" w:eastAsia="zh-CN"/>
        </w:rPr>
        <w:tab/>
      </w:r>
      <w:r>
        <w:rPr>
          <w:lang w:val="zh-CN" w:eastAsia="zh-CN"/>
        </w:rPr>
        <w:fldChar w:fldCharType="begin"/>
      </w:r>
      <w:r>
        <w:rPr>
          <w:lang w:val="zh-CN" w:eastAsia="zh-CN"/>
        </w:rPr>
        <w:instrText xml:space="preserve"> PAGEREF _Toc435690389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"_Toc435690390"</w:instrText>
      </w:r>
      <w:r>
        <w:rPr>
          <w:rStyle w:val="57"/>
          <w:lang w:val="zh-CN" w:eastAsia="zh-CN"/>
        </w:rPr>
        <w:instrText xml:space="preserve"> </w:instrText>
      </w:r>
      <w:r>
        <w:rPr>
          <w:rStyle w:val="57"/>
          <w:lang w:val="zh-CN" w:eastAsia="zh-CN"/>
        </w:rPr>
        <w:fldChar w:fldCharType="separate"/>
      </w:r>
      <w:r>
        <w:rPr>
          <w:rStyle w:val="57"/>
          <w:lang w:val="zh-CN" w:eastAsia="zh-CN"/>
        </w:rPr>
        <w:t>1.5.5</w:t>
      </w:r>
      <w:r>
        <w:rPr>
          <w:rStyle w:val="57"/>
          <w:rFonts w:hint="eastAsia"/>
          <w:lang w:val="zh-CN" w:eastAsia="zh-CN"/>
        </w:rPr>
        <w:t>土壤环境质量标准</w:t>
      </w:r>
      <w:r>
        <w:rPr>
          <w:lang w:val="zh-CN" w:eastAsia="zh-CN"/>
        </w:rPr>
        <w:tab/>
      </w:r>
      <w:r>
        <w:rPr>
          <w:lang w:val="zh-CN" w:eastAsia="zh-CN"/>
        </w:rPr>
        <w:fldChar w:fldCharType="begin"/>
      </w:r>
      <w:r>
        <w:rPr>
          <w:lang w:val="zh-CN" w:eastAsia="zh-CN"/>
        </w:rPr>
        <w:instrText xml:space="preserve"> PAGEREF _Toc435690390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38"/>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"_Toc435690391"</w:instrText>
      </w:r>
      <w:r>
        <w:rPr>
          <w:rStyle w:val="57"/>
          <w:lang w:val="zh-CN" w:eastAsia="zh-CN"/>
        </w:rPr>
        <w:instrText xml:space="preserve"> </w:instrText>
      </w:r>
      <w:r>
        <w:rPr>
          <w:rStyle w:val="57"/>
          <w:lang w:val="zh-CN" w:eastAsia="zh-CN"/>
        </w:rPr>
        <w:fldChar w:fldCharType="separate"/>
      </w:r>
      <w:r>
        <w:rPr>
          <w:rStyle w:val="57"/>
          <w:b/>
          <w:lang w:val="zh-CN" w:eastAsia="zh-CN"/>
        </w:rPr>
        <w:t>2.</w:t>
      </w:r>
      <w:r>
        <w:rPr>
          <w:rStyle w:val="57"/>
          <w:rFonts w:hint="eastAsia"/>
          <w:b/>
          <w:lang w:val="zh-CN" w:eastAsia="zh-CN"/>
        </w:rPr>
        <w:t>工程分析</w:t>
      </w:r>
      <w:r>
        <w:rPr>
          <w:lang w:val="zh-CN" w:eastAsia="zh-CN"/>
        </w:rPr>
        <w:tab/>
      </w:r>
      <w:r>
        <w:rPr>
          <w:lang w:val="zh-CN" w:eastAsia="zh-CN"/>
        </w:rPr>
        <w:fldChar w:fldCharType="begin"/>
      </w:r>
      <w:r>
        <w:rPr>
          <w:lang w:val="zh-CN" w:eastAsia="zh-CN"/>
        </w:rPr>
        <w:instrText xml:space="preserve"> PAGEREF _Toc435690391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"_Toc435690392"</w:instrText>
      </w:r>
      <w:r>
        <w:rPr>
          <w:rStyle w:val="57"/>
          <w:lang w:val="zh-CN" w:eastAsia="zh-CN"/>
        </w:rPr>
        <w:instrText xml:space="preserve"> </w:instrText>
      </w:r>
      <w:r>
        <w:rPr>
          <w:rStyle w:val="57"/>
          <w:lang w:val="zh-CN" w:eastAsia="zh-CN"/>
        </w:rPr>
        <w:fldChar w:fldCharType="separate"/>
      </w:r>
      <w:r>
        <w:rPr>
          <w:rStyle w:val="57"/>
          <w:b/>
          <w:lang w:val="zh-CN" w:eastAsia="zh-CN"/>
        </w:rPr>
        <w:t>2.1</w:t>
      </w:r>
      <w:r>
        <w:rPr>
          <w:rStyle w:val="57"/>
          <w:rFonts w:hint="eastAsia"/>
          <w:b/>
          <w:lang w:val="zh-CN" w:eastAsia="zh-CN"/>
        </w:rPr>
        <w:t>建设项目基本概况</w:t>
      </w:r>
      <w:r>
        <w:rPr>
          <w:lang w:val="zh-CN" w:eastAsia="zh-CN"/>
        </w:rPr>
        <w:tab/>
      </w:r>
      <w:r>
        <w:rPr>
          <w:lang w:val="zh-CN" w:eastAsia="zh-CN"/>
        </w:rPr>
        <w:fldChar w:fldCharType="begin"/>
      </w:r>
      <w:r>
        <w:rPr>
          <w:lang w:val="zh-CN" w:eastAsia="zh-CN"/>
        </w:rPr>
        <w:instrText xml:space="preserve"> PAGEREF _Toc435690392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"_Toc435690393"</w:instrText>
      </w:r>
      <w:r>
        <w:rPr>
          <w:rStyle w:val="57"/>
          <w:lang w:val="zh-CN" w:eastAsia="zh-CN"/>
        </w:rPr>
        <w:instrText xml:space="preserve"> </w:instrText>
      </w:r>
      <w:r>
        <w:rPr>
          <w:rStyle w:val="57"/>
          <w:lang w:val="zh-CN" w:eastAsia="zh-CN"/>
        </w:rPr>
        <w:fldChar w:fldCharType="separate"/>
      </w:r>
      <w:r>
        <w:rPr>
          <w:rStyle w:val="57"/>
          <w:lang w:val="zh-CN" w:eastAsia="zh-CN"/>
        </w:rPr>
        <w:t>2.1.1</w:t>
      </w:r>
      <w:r>
        <w:rPr>
          <w:rStyle w:val="57"/>
          <w:rFonts w:hint="eastAsia"/>
          <w:lang w:val="zh-CN" w:eastAsia="zh-CN"/>
        </w:rPr>
        <w:t>建设项目建设内容</w:t>
      </w:r>
      <w:r>
        <w:rPr>
          <w:lang w:val="zh-CN" w:eastAsia="zh-CN"/>
        </w:rPr>
        <w:tab/>
      </w:r>
      <w:r>
        <w:rPr>
          <w:lang w:val="zh-CN" w:eastAsia="zh-CN"/>
        </w:rPr>
        <w:fldChar w:fldCharType="begin"/>
      </w:r>
      <w:r>
        <w:rPr>
          <w:lang w:val="zh-CN" w:eastAsia="zh-CN"/>
        </w:rPr>
        <w:instrText xml:space="preserve"> PAGEREF _Toc435690393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"_Toc435690394"</w:instrText>
      </w:r>
      <w:r>
        <w:rPr>
          <w:rStyle w:val="57"/>
          <w:lang w:val="zh-CN" w:eastAsia="zh-CN"/>
        </w:rPr>
        <w:instrText xml:space="preserve"> </w:instrText>
      </w:r>
      <w:r>
        <w:rPr>
          <w:rStyle w:val="57"/>
          <w:lang w:val="zh-CN" w:eastAsia="zh-CN"/>
        </w:rPr>
        <w:fldChar w:fldCharType="separate"/>
      </w:r>
      <w:r>
        <w:rPr>
          <w:rStyle w:val="57"/>
          <w:lang w:val="zh-CN" w:eastAsia="zh-CN"/>
        </w:rPr>
        <w:t>2.1.2</w:t>
      </w:r>
      <w:r>
        <w:rPr>
          <w:rStyle w:val="57"/>
          <w:rFonts w:hint="eastAsia"/>
          <w:lang w:val="zh-CN" w:eastAsia="zh-CN"/>
        </w:rPr>
        <w:t>主要建设内容</w:t>
      </w:r>
      <w:r>
        <w:rPr>
          <w:lang w:val="zh-CN" w:eastAsia="zh-CN"/>
        </w:rPr>
        <w:tab/>
      </w:r>
      <w:r>
        <w:rPr>
          <w:lang w:val="zh-CN" w:eastAsia="zh-CN"/>
        </w:rPr>
        <w:fldChar w:fldCharType="begin"/>
      </w:r>
      <w:r>
        <w:rPr>
          <w:lang w:val="zh-CN" w:eastAsia="zh-CN"/>
        </w:rPr>
        <w:instrText xml:space="preserve"> PAGEREF _Toc435690394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"_Toc435690395"</w:instrText>
      </w:r>
      <w:r>
        <w:rPr>
          <w:rStyle w:val="57"/>
          <w:lang w:val="zh-CN" w:eastAsia="zh-CN"/>
        </w:rPr>
        <w:instrText xml:space="preserve"> </w:instrText>
      </w:r>
      <w:r>
        <w:rPr>
          <w:rStyle w:val="57"/>
          <w:lang w:val="zh-CN" w:eastAsia="zh-CN"/>
        </w:rPr>
        <w:fldChar w:fldCharType="separate"/>
      </w:r>
      <w:r>
        <w:rPr>
          <w:rStyle w:val="57"/>
          <w:lang w:val="zh-CN" w:eastAsia="zh-CN"/>
        </w:rPr>
        <w:t>2.1.3</w:t>
      </w:r>
      <w:r>
        <w:rPr>
          <w:rStyle w:val="57"/>
          <w:rFonts w:hint="eastAsia"/>
          <w:lang w:val="zh-CN" w:eastAsia="zh-CN"/>
        </w:rPr>
        <w:t>平面布置与周围环境概况</w:t>
      </w:r>
      <w:r>
        <w:rPr>
          <w:lang w:val="zh-CN" w:eastAsia="zh-CN"/>
        </w:rPr>
        <w:tab/>
      </w:r>
      <w:r>
        <w:rPr>
          <w:lang w:val="zh-CN" w:eastAsia="zh-CN"/>
        </w:rPr>
        <w:fldChar w:fldCharType="begin"/>
      </w:r>
      <w:r>
        <w:rPr>
          <w:lang w:val="zh-CN" w:eastAsia="zh-CN"/>
        </w:rPr>
        <w:instrText xml:space="preserve"> PAGEREF _Toc435690395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"_Toc435690396"</w:instrText>
      </w:r>
      <w:r>
        <w:rPr>
          <w:rStyle w:val="57"/>
          <w:lang w:val="zh-CN" w:eastAsia="zh-CN"/>
        </w:rPr>
        <w:instrText xml:space="preserve"> </w:instrText>
      </w:r>
      <w:r>
        <w:rPr>
          <w:rStyle w:val="57"/>
          <w:lang w:val="zh-CN" w:eastAsia="zh-CN"/>
        </w:rPr>
        <w:fldChar w:fldCharType="separate"/>
      </w:r>
      <w:r>
        <w:rPr>
          <w:rStyle w:val="57"/>
          <w:b/>
          <w:lang w:val="zh-CN" w:eastAsia="zh-CN"/>
        </w:rPr>
        <w:t>2.2</w:t>
      </w:r>
      <w:r>
        <w:rPr>
          <w:rStyle w:val="57"/>
          <w:rFonts w:hint="eastAsia"/>
          <w:b/>
          <w:lang w:val="zh-CN" w:eastAsia="zh-CN"/>
        </w:rPr>
        <w:t>公用及辅助工程</w:t>
      </w:r>
      <w:r>
        <w:rPr>
          <w:lang w:val="zh-CN" w:eastAsia="zh-CN"/>
        </w:rPr>
        <w:tab/>
      </w:r>
      <w:r>
        <w:rPr>
          <w:lang w:val="zh-CN" w:eastAsia="zh-CN"/>
        </w:rPr>
        <w:fldChar w:fldCharType="begin"/>
      </w:r>
      <w:r>
        <w:rPr>
          <w:lang w:val="zh-CN" w:eastAsia="zh-CN"/>
        </w:rPr>
        <w:instrText xml:space="preserve"> PAGEREF _Toc435690396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"_Toc435690397"</w:instrText>
      </w:r>
      <w:r>
        <w:rPr>
          <w:rStyle w:val="57"/>
          <w:lang w:val="zh-CN" w:eastAsia="zh-CN"/>
        </w:rPr>
        <w:instrText xml:space="preserve"> </w:instrText>
      </w:r>
      <w:r>
        <w:rPr>
          <w:rStyle w:val="57"/>
          <w:lang w:val="zh-CN" w:eastAsia="zh-CN"/>
        </w:rPr>
        <w:fldChar w:fldCharType="separate"/>
      </w:r>
      <w:r>
        <w:rPr>
          <w:rStyle w:val="57"/>
          <w:lang w:val="zh-CN" w:eastAsia="zh-CN"/>
        </w:rPr>
        <w:t>2.2.1</w:t>
      </w:r>
      <w:r>
        <w:rPr>
          <w:rStyle w:val="57"/>
          <w:rFonts w:hint="eastAsia"/>
          <w:lang w:val="zh-CN" w:eastAsia="zh-CN"/>
        </w:rPr>
        <w:t>给排水</w:t>
      </w:r>
      <w:r>
        <w:rPr>
          <w:lang w:val="zh-CN" w:eastAsia="zh-CN"/>
        </w:rPr>
        <w:tab/>
      </w:r>
      <w:r>
        <w:rPr>
          <w:lang w:val="zh-CN" w:eastAsia="zh-CN"/>
        </w:rPr>
        <w:fldChar w:fldCharType="begin"/>
      </w:r>
      <w:r>
        <w:rPr>
          <w:lang w:val="zh-CN" w:eastAsia="zh-CN"/>
        </w:rPr>
        <w:instrText xml:space="preserve"> PAGEREF _Toc435690397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"_Toc435690398"</w:instrText>
      </w:r>
      <w:r>
        <w:rPr>
          <w:rStyle w:val="57"/>
          <w:lang w:val="zh-CN" w:eastAsia="zh-CN"/>
        </w:rPr>
        <w:instrText xml:space="preserve"> </w:instrText>
      </w:r>
      <w:r>
        <w:rPr>
          <w:rStyle w:val="57"/>
          <w:lang w:val="zh-CN" w:eastAsia="zh-CN"/>
        </w:rPr>
        <w:fldChar w:fldCharType="separate"/>
      </w:r>
      <w:r>
        <w:rPr>
          <w:rStyle w:val="57"/>
          <w:lang w:val="zh-CN" w:eastAsia="zh-CN"/>
        </w:rPr>
        <w:t>2.2.2</w:t>
      </w:r>
      <w:r>
        <w:rPr>
          <w:rStyle w:val="57"/>
          <w:rFonts w:hint="eastAsia"/>
          <w:lang w:val="zh-CN" w:eastAsia="zh-CN"/>
        </w:rPr>
        <w:t>消防系统</w:t>
      </w:r>
      <w:r>
        <w:rPr>
          <w:lang w:val="zh-CN" w:eastAsia="zh-CN"/>
        </w:rPr>
        <w:tab/>
      </w:r>
      <w:r>
        <w:rPr>
          <w:lang w:val="zh-CN" w:eastAsia="zh-CN"/>
        </w:rPr>
        <w:fldChar w:fldCharType="begin"/>
      </w:r>
      <w:r>
        <w:rPr>
          <w:lang w:val="zh-CN" w:eastAsia="zh-CN"/>
        </w:rPr>
        <w:instrText xml:space="preserve"> PAGEREF _Toc435690398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"_Toc435690399"</w:instrText>
      </w:r>
      <w:r>
        <w:rPr>
          <w:rStyle w:val="57"/>
          <w:lang w:val="zh-CN" w:eastAsia="zh-CN"/>
        </w:rPr>
        <w:instrText xml:space="preserve"> </w:instrText>
      </w:r>
      <w:r>
        <w:rPr>
          <w:rStyle w:val="57"/>
          <w:lang w:val="zh-CN" w:eastAsia="zh-CN"/>
        </w:rPr>
        <w:fldChar w:fldCharType="separate"/>
      </w:r>
      <w:r>
        <w:rPr>
          <w:rStyle w:val="57"/>
          <w:lang w:val="zh-CN" w:eastAsia="zh-CN"/>
        </w:rPr>
        <w:t>2.2.3</w:t>
      </w:r>
      <w:r>
        <w:rPr>
          <w:rStyle w:val="57"/>
          <w:rFonts w:hint="eastAsia"/>
          <w:lang w:val="zh-CN" w:eastAsia="zh-CN"/>
        </w:rPr>
        <w:t>供电</w:t>
      </w:r>
      <w:r>
        <w:rPr>
          <w:lang w:val="zh-CN" w:eastAsia="zh-CN"/>
        </w:rPr>
        <w:tab/>
      </w:r>
      <w:r>
        <w:rPr>
          <w:lang w:val="zh-CN" w:eastAsia="zh-CN"/>
        </w:rPr>
        <w:fldChar w:fldCharType="begin"/>
      </w:r>
      <w:r>
        <w:rPr>
          <w:lang w:val="zh-CN" w:eastAsia="zh-CN"/>
        </w:rPr>
        <w:instrText xml:space="preserve"> PAGEREF _Toc435690399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"_Toc435690400"</w:instrText>
      </w:r>
      <w:r>
        <w:rPr>
          <w:rStyle w:val="57"/>
          <w:lang w:val="zh-CN" w:eastAsia="zh-CN"/>
        </w:rPr>
        <w:instrText xml:space="preserve"> </w:instrText>
      </w:r>
      <w:r>
        <w:rPr>
          <w:rStyle w:val="57"/>
          <w:lang w:val="zh-CN" w:eastAsia="zh-CN"/>
        </w:rPr>
        <w:fldChar w:fldCharType="separate"/>
      </w:r>
      <w:r>
        <w:rPr>
          <w:rStyle w:val="57"/>
          <w:lang w:val="zh-CN" w:eastAsia="zh-CN"/>
        </w:rPr>
        <w:t>2.2.4</w:t>
      </w:r>
      <w:r>
        <w:rPr>
          <w:rStyle w:val="57"/>
          <w:rFonts w:hint="eastAsia"/>
          <w:lang w:val="zh-CN" w:eastAsia="zh-CN"/>
        </w:rPr>
        <w:t>贮运工程</w:t>
      </w:r>
      <w:r>
        <w:rPr>
          <w:lang w:val="zh-CN" w:eastAsia="zh-CN"/>
        </w:rPr>
        <w:tab/>
      </w:r>
      <w:r>
        <w:rPr>
          <w:lang w:val="zh-CN" w:eastAsia="zh-CN"/>
        </w:rPr>
        <w:fldChar w:fldCharType="begin"/>
      </w:r>
      <w:r>
        <w:rPr>
          <w:lang w:val="zh-CN" w:eastAsia="zh-CN"/>
        </w:rPr>
        <w:instrText xml:space="preserve"> PAGEREF _Toc435690400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"_Toc435690401"</w:instrText>
      </w:r>
      <w:r>
        <w:rPr>
          <w:rStyle w:val="57"/>
          <w:lang w:val="zh-CN" w:eastAsia="zh-CN"/>
        </w:rPr>
        <w:instrText xml:space="preserve"> </w:instrText>
      </w:r>
      <w:r>
        <w:rPr>
          <w:rStyle w:val="57"/>
          <w:lang w:val="zh-CN" w:eastAsia="zh-CN"/>
        </w:rPr>
        <w:fldChar w:fldCharType="separate"/>
      </w:r>
      <w:r>
        <w:rPr>
          <w:rStyle w:val="57"/>
          <w:b/>
          <w:lang w:val="zh-CN" w:eastAsia="zh-CN"/>
        </w:rPr>
        <w:t>2.3</w:t>
      </w:r>
      <w:r>
        <w:rPr>
          <w:rStyle w:val="57"/>
          <w:rFonts w:hint="eastAsia"/>
          <w:b/>
          <w:lang w:val="zh-CN" w:eastAsia="zh-CN"/>
        </w:rPr>
        <w:t>水平衡</w:t>
      </w:r>
      <w:r>
        <w:rPr>
          <w:lang w:val="zh-CN" w:eastAsia="zh-CN"/>
        </w:rPr>
        <w:tab/>
      </w:r>
      <w:r>
        <w:rPr>
          <w:lang w:val="zh-CN" w:eastAsia="zh-CN"/>
        </w:rPr>
        <w:fldChar w:fldCharType="begin"/>
      </w:r>
      <w:r>
        <w:rPr>
          <w:lang w:val="zh-CN" w:eastAsia="zh-CN"/>
        </w:rPr>
        <w:instrText xml:space="preserve"> PAGEREF _Toc435690401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"_Toc435690402"</w:instrText>
      </w:r>
      <w:r>
        <w:rPr>
          <w:rStyle w:val="57"/>
          <w:lang w:val="zh-CN" w:eastAsia="zh-CN"/>
        </w:rPr>
        <w:instrText xml:space="preserve"> </w:instrText>
      </w:r>
      <w:r>
        <w:rPr>
          <w:rStyle w:val="57"/>
          <w:lang w:val="zh-CN" w:eastAsia="zh-CN"/>
        </w:rPr>
        <w:fldChar w:fldCharType="separate"/>
      </w:r>
      <w:r>
        <w:rPr>
          <w:rStyle w:val="57"/>
          <w:b/>
          <w:lang w:val="zh-CN" w:eastAsia="zh-CN"/>
        </w:rPr>
        <w:t>2.4</w:t>
      </w:r>
      <w:r>
        <w:rPr>
          <w:rStyle w:val="57"/>
          <w:rFonts w:hint="eastAsia"/>
          <w:b/>
          <w:lang w:val="zh-CN" w:eastAsia="zh-CN"/>
        </w:rPr>
        <w:t>作业流程及能源消耗</w:t>
      </w:r>
      <w:r>
        <w:rPr>
          <w:lang w:val="zh-CN" w:eastAsia="zh-CN"/>
        </w:rPr>
        <w:tab/>
      </w:r>
      <w:r>
        <w:rPr>
          <w:lang w:val="zh-CN" w:eastAsia="zh-CN"/>
        </w:rPr>
        <w:fldChar w:fldCharType="begin"/>
      </w:r>
      <w:r>
        <w:rPr>
          <w:lang w:val="zh-CN" w:eastAsia="zh-CN"/>
        </w:rPr>
        <w:instrText xml:space="preserve"> PAGEREF _Toc435690402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"_Toc435690403"</w:instrText>
      </w:r>
      <w:r>
        <w:rPr>
          <w:rStyle w:val="57"/>
          <w:lang w:val="zh-CN" w:eastAsia="zh-CN"/>
        </w:rPr>
        <w:instrText xml:space="preserve"> </w:instrText>
      </w:r>
      <w:r>
        <w:rPr>
          <w:rStyle w:val="57"/>
          <w:lang w:val="zh-CN" w:eastAsia="zh-CN"/>
        </w:rPr>
        <w:fldChar w:fldCharType="separate"/>
      </w:r>
      <w:r>
        <w:rPr>
          <w:rStyle w:val="57"/>
          <w:lang w:val="zh-CN" w:eastAsia="zh-CN"/>
        </w:rPr>
        <w:t>2.4.1</w:t>
      </w:r>
      <w:r>
        <w:rPr>
          <w:rStyle w:val="57"/>
          <w:rFonts w:hint="eastAsia"/>
          <w:lang w:val="zh-CN" w:eastAsia="zh-CN"/>
        </w:rPr>
        <w:t>项目运营作业流程</w:t>
      </w:r>
      <w:r>
        <w:rPr>
          <w:lang w:val="zh-CN" w:eastAsia="zh-CN"/>
        </w:rPr>
        <w:tab/>
      </w:r>
      <w:r>
        <w:rPr>
          <w:lang w:val="zh-CN" w:eastAsia="zh-CN"/>
        </w:rPr>
        <w:fldChar w:fldCharType="begin"/>
      </w:r>
      <w:r>
        <w:rPr>
          <w:lang w:val="zh-CN" w:eastAsia="zh-CN"/>
        </w:rPr>
        <w:instrText xml:space="preserve"> PAGEREF _Toc435690403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"_Toc435690404"</w:instrText>
      </w:r>
      <w:r>
        <w:rPr>
          <w:rStyle w:val="57"/>
          <w:lang w:val="zh-CN" w:eastAsia="zh-CN"/>
        </w:rPr>
        <w:instrText xml:space="preserve"> </w:instrText>
      </w:r>
      <w:r>
        <w:rPr>
          <w:rStyle w:val="57"/>
          <w:lang w:val="zh-CN" w:eastAsia="zh-CN"/>
        </w:rPr>
        <w:fldChar w:fldCharType="separate"/>
      </w:r>
      <w:r>
        <w:rPr>
          <w:rStyle w:val="57"/>
          <w:lang w:val="zh-CN" w:eastAsia="zh-CN"/>
        </w:rPr>
        <w:t>2.4.2</w:t>
      </w:r>
      <w:r>
        <w:rPr>
          <w:rStyle w:val="57"/>
          <w:rFonts w:hint="eastAsia"/>
          <w:lang w:val="zh-CN" w:eastAsia="zh-CN"/>
        </w:rPr>
        <w:t>主要能源消耗</w:t>
      </w:r>
      <w:r>
        <w:rPr>
          <w:lang w:val="zh-CN" w:eastAsia="zh-CN"/>
        </w:rPr>
        <w:tab/>
      </w:r>
      <w:r>
        <w:rPr>
          <w:lang w:val="zh-CN" w:eastAsia="zh-CN"/>
        </w:rPr>
        <w:fldChar w:fldCharType="begin"/>
      </w:r>
      <w:r>
        <w:rPr>
          <w:lang w:val="zh-CN" w:eastAsia="zh-CN"/>
        </w:rPr>
        <w:instrText xml:space="preserve"> PAGEREF _Toc435690404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"_Toc435690405"</w:instrText>
      </w:r>
      <w:r>
        <w:rPr>
          <w:rStyle w:val="57"/>
          <w:lang w:val="zh-CN" w:eastAsia="zh-CN"/>
        </w:rPr>
        <w:instrText xml:space="preserve"> </w:instrText>
      </w:r>
      <w:r>
        <w:rPr>
          <w:rStyle w:val="57"/>
          <w:lang w:val="zh-CN" w:eastAsia="zh-CN"/>
        </w:rPr>
        <w:fldChar w:fldCharType="separate"/>
      </w:r>
      <w:r>
        <w:rPr>
          <w:rStyle w:val="57"/>
          <w:lang w:val="zh-CN" w:eastAsia="zh-CN"/>
        </w:rPr>
        <w:t>2.4.3</w:t>
      </w:r>
      <w:r>
        <w:rPr>
          <w:rStyle w:val="57"/>
          <w:rFonts w:hint="eastAsia"/>
          <w:lang w:val="zh-CN" w:eastAsia="zh-CN"/>
        </w:rPr>
        <w:t>主要设备、公用及贮运设备</w:t>
      </w:r>
      <w:r>
        <w:rPr>
          <w:lang w:val="zh-CN" w:eastAsia="zh-CN"/>
        </w:rPr>
        <w:tab/>
      </w:r>
      <w:r>
        <w:rPr>
          <w:lang w:val="zh-CN" w:eastAsia="zh-CN"/>
        </w:rPr>
        <w:fldChar w:fldCharType="begin"/>
      </w:r>
      <w:r>
        <w:rPr>
          <w:lang w:val="zh-CN" w:eastAsia="zh-CN"/>
        </w:rPr>
        <w:instrText xml:space="preserve"> PAGEREF _Toc435690405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"_Toc435690406"</w:instrText>
      </w:r>
      <w:r>
        <w:rPr>
          <w:rStyle w:val="57"/>
          <w:lang w:val="zh-CN" w:eastAsia="zh-CN"/>
        </w:rPr>
        <w:instrText xml:space="preserve"> </w:instrText>
      </w:r>
      <w:r>
        <w:rPr>
          <w:rStyle w:val="57"/>
          <w:lang w:val="zh-CN" w:eastAsia="zh-CN"/>
        </w:rPr>
        <w:fldChar w:fldCharType="separate"/>
      </w:r>
      <w:r>
        <w:rPr>
          <w:rStyle w:val="57"/>
          <w:b/>
          <w:lang w:val="zh-CN" w:eastAsia="zh-CN"/>
        </w:rPr>
        <w:t>2.5</w:t>
      </w:r>
      <w:r>
        <w:rPr>
          <w:rStyle w:val="57"/>
          <w:rFonts w:hint="eastAsia"/>
          <w:b/>
          <w:lang w:val="zh-CN" w:eastAsia="zh-CN"/>
        </w:rPr>
        <w:t>施工期环境影响分析及污染防治措施</w:t>
      </w:r>
      <w:r>
        <w:rPr>
          <w:lang w:val="zh-CN" w:eastAsia="zh-CN"/>
        </w:rPr>
        <w:tab/>
      </w:r>
      <w:r>
        <w:rPr>
          <w:lang w:val="zh-CN" w:eastAsia="zh-CN"/>
        </w:rPr>
        <w:fldChar w:fldCharType="begin"/>
      </w:r>
      <w:r>
        <w:rPr>
          <w:lang w:val="zh-CN" w:eastAsia="zh-CN"/>
        </w:rPr>
        <w:instrText xml:space="preserve"> PAGEREF _Toc435690406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"_Toc435690407"</w:instrText>
      </w:r>
      <w:r>
        <w:rPr>
          <w:rStyle w:val="57"/>
          <w:lang w:val="zh-CN" w:eastAsia="zh-CN"/>
        </w:rPr>
        <w:instrText xml:space="preserve"> </w:instrText>
      </w:r>
      <w:r>
        <w:rPr>
          <w:rStyle w:val="57"/>
          <w:lang w:val="zh-CN" w:eastAsia="zh-CN"/>
        </w:rPr>
        <w:fldChar w:fldCharType="separate"/>
      </w:r>
      <w:r>
        <w:rPr>
          <w:rStyle w:val="57"/>
          <w:lang w:val="zh-CN" w:eastAsia="zh-CN"/>
        </w:rPr>
        <w:t>2.5.1</w:t>
      </w:r>
      <w:r>
        <w:rPr>
          <w:rStyle w:val="57"/>
          <w:rFonts w:hint="eastAsia"/>
          <w:lang w:val="zh-CN" w:eastAsia="zh-CN"/>
        </w:rPr>
        <w:t>施工工艺流程及产污环节</w:t>
      </w:r>
      <w:r>
        <w:rPr>
          <w:lang w:val="zh-CN" w:eastAsia="zh-CN"/>
        </w:rPr>
        <w:tab/>
      </w:r>
      <w:r>
        <w:rPr>
          <w:lang w:val="zh-CN" w:eastAsia="zh-CN"/>
        </w:rPr>
        <w:fldChar w:fldCharType="begin"/>
      </w:r>
      <w:r>
        <w:rPr>
          <w:lang w:val="zh-CN" w:eastAsia="zh-CN"/>
        </w:rPr>
        <w:instrText xml:space="preserve"> PAGEREF _Toc435690407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"_Toc435690408"</w:instrText>
      </w:r>
      <w:r>
        <w:rPr>
          <w:rStyle w:val="57"/>
          <w:lang w:val="zh-CN" w:eastAsia="zh-CN"/>
        </w:rPr>
        <w:instrText xml:space="preserve"> </w:instrText>
      </w:r>
      <w:r>
        <w:rPr>
          <w:rStyle w:val="57"/>
          <w:lang w:val="zh-CN" w:eastAsia="zh-CN"/>
        </w:rPr>
        <w:fldChar w:fldCharType="separate"/>
      </w:r>
      <w:r>
        <w:rPr>
          <w:rStyle w:val="57"/>
          <w:lang w:val="zh-CN" w:eastAsia="zh-CN"/>
        </w:rPr>
        <w:t>2.5.2</w:t>
      </w:r>
      <w:r>
        <w:rPr>
          <w:rStyle w:val="57"/>
          <w:rFonts w:hint="eastAsia"/>
          <w:lang w:val="zh-CN" w:eastAsia="zh-CN"/>
        </w:rPr>
        <w:t>施工期水环境影响分析及污染防治措施</w:t>
      </w:r>
      <w:r>
        <w:rPr>
          <w:lang w:val="zh-CN" w:eastAsia="zh-CN"/>
        </w:rPr>
        <w:tab/>
      </w:r>
      <w:r>
        <w:rPr>
          <w:lang w:val="zh-CN" w:eastAsia="zh-CN"/>
        </w:rPr>
        <w:fldChar w:fldCharType="begin"/>
      </w:r>
      <w:r>
        <w:rPr>
          <w:lang w:val="zh-CN" w:eastAsia="zh-CN"/>
        </w:rPr>
        <w:instrText xml:space="preserve"> PAGEREF _Toc435690408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"_Toc435690409"</w:instrText>
      </w:r>
      <w:r>
        <w:rPr>
          <w:rStyle w:val="57"/>
          <w:lang w:val="zh-CN" w:eastAsia="zh-CN"/>
        </w:rPr>
        <w:instrText xml:space="preserve"> </w:instrText>
      </w:r>
      <w:r>
        <w:rPr>
          <w:rStyle w:val="57"/>
          <w:lang w:val="zh-CN" w:eastAsia="zh-CN"/>
        </w:rPr>
        <w:fldChar w:fldCharType="separate"/>
      </w:r>
      <w:r>
        <w:rPr>
          <w:rStyle w:val="57"/>
          <w:lang w:val="zh-CN" w:eastAsia="zh-CN"/>
        </w:rPr>
        <w:t>2.5.3</w:t>
      </w:r>
      <w:r>
        <w:rPr>
          <w:rStyle w:val="57"/>
          <w:rFonts w:hint="eastAsia"/>
          <w:lang w:val="zh-CN" w:eastAsia="zh-CN"/>
        </w:rPr>
        <w:t>施工期大气环境环境影响分析及污染防治措施</w:t>
      </w:r>
      <w:r>
        <w:rPr>
          <w:lang w:val="zh-CN" w:eastAsia="zh-CN"/>
        </w:rPr>
        <w:tab/>
      </w:r>
      <w:r>
        <w:rPr>
          <w:lang w:val="zh-CN" w:eastAsia="zh-CN"/>
        </w:rPr>
        <w:fldChar w:fldCharType="begin"/>
      </w:r>
      <w:r>
        <w:rPr>
          <w:lang w:val="zh-CN" w:eastAsia="zh-CN"/>
        </w:rPr>
        <w:instrText xml:space="preserve"> PAGEREF _Toc435690409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"_Toc435690410"</w:instrText>
      </w:r>
      <w:r>
        <w:rPr>
          <w:rStyle w:val="57"/>
          <w:lang w:val="zh-CN" w:eastAsia="zh-CN"/>
        </w:rPr>
        <w:instrText xml:space="preserve"> </w:instrText>
      </w:r>
      <w:r>
        <w:rPr>
          <w:rStyle w:val="57"/>
          <w:lang w:val="zh-CN" w:eastAsia="zh-CN"/>
        </w:rPr>
        <w:fldChar w:fldCharType="separate"/>
      </w:r>
      <w:r>
        <w:rPr>
          <w:rStyle w:val="57"/>
          <w:lang w:val="zh-CN" w:eastAsia="zh-CN"/>
        </w:rPr>
        <w:t>2.5.4</w:t>
      </w:r>
      <w:r>
        <w:rPr>
          <w:rStyle w:val="57"/>
          <w:rFonts w:hint="eastAsia"/>
          <w:lang w:val="zh-CN" w:eastAsia="zh-CN"/>
        </w:rPr>
        <w:t>施工期声环境环境影响分析及污染防治措施</w:t>
      </w:r>
      <w:r>
        <w:rPr>
          <w:lang w:val="zh-CN" w:eastAsia="zh-CN"/>
        </w:rPr>
        <w:tab/>
      </w:r>
      <w:r>
        <w:rPr>
          <w:lang w:val="zh-CN" w:eastAsia="zh-CN"/>
        </w:rPr>
        <w:fldChar w:fldCharType="begin"/>
      </w:r>
      <w:r>
        <w:rPr>
          <w:lang w:val="zh-CN" w:eastAsia="zh-CN"/>
        </w:rPr>
        <w:instrText xml:space="preserve"> PAGEREF _Toc435690410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"_Toc435690411"</w:instrText>
      </w:r>
      <w:r>
        <w:rPr>
          <w:rStyle w:val="57"/>
          <w:lang w:val="zh-CN" w:eastAsia="zh-CN"/>
        </w:rPr>
        <w:instrText xml:space="preserve"> </w:instrText>
      </w:r>
      <w:r>
        <w:rPr>
          <w:rStyle w:val="57"/>
          <w:lang w:val="zh-CN" w:eastAsia="zh-CN"/>
        </w:rPr>
        <w:fldChar w:fldCharType="separate"/>
      </w:r>
      <w:r>
        <w:rPr>
          <w:rStyle w:val="57"/>
          <w:lang w:val="zh-CN" w:eastAsia="zh-CN"/>
        </w:rPr>
        <w:t>2.5.6</w:t>
      </w:r>
      <w:r>
        <w:rPr>
          <w:rStyle w:val="57"/>
          <w:rFonts w:hint="eastAsia"/>
          <w:lang w:val="zh-CN" w:eastAsia="zh-CN"/>
        </w:rPr>
        <w:t>固体废弃物环境环境影响分析及污染防治措施</w:t>
      </w:r>
      <w:r>
        <w:rPr>
          <w:lang w:val="zh-CN" w:eastAsia="zh-CN"/>
        </w:rPr>
        <w:tab/>
      </w:r>
      <w:r>
        <w:rPr>
          <w:lang w:val="zh-CN" w:eastAsia="zh-CN"/>
        </w:rPr>
        <w:fldChar w:fldCharType="begin"/>
      </w:r>
      <w:r>
        <w:rPr>
          <w:lang w:val="zh-CN" w:eastAsia="zh-CN"/>
        </w:rPr>
        <w:instrText xml:space="preserve"> PAGEREF _Toc435690411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"_Toc435690412"</w:instrText>
      </w:r>
      <w:r>
        <w:rPr>
          <w:rStyle w:val="57"/>
          <w:lang w:val="zh-CN" w:eastAsia="zh-CN"/>
        </w:rPr>
        <w:instrText xml:space="preserve"> </w:instrText>
      </w:r>
      <w:r>
        <w:rPr>
          <w:rStyle w:val="57"/>
          <w:lang w:val="zh-CN" w:eastAsia="zh-CN"/>
        </w:rPr>
        <w:fldChar w:fldCharType="separate"/>
      </w:r>
      <w:r>
        <w:rPr>
          <w:rStyle w:val="57"/>
          <w:lang w:val="zh-CN" w:eastAsia="zh-CN"/>
        </w:rPr>
        <w:t>2.5.7</w:t>
      </w:r>
      <w:r>
        <w:rPr>
          <w:rStyle w:val="57"/>
          <w:rFonts w:hint="eastAsia"/>
          <w:lang w:val="zh-CN" w:eastAsia="zh-CN"/>
        </w:rPr>
        <w:t>施工期的生态环境影响分析及防治措施</w:t>
      </w:r>
      <w:r>
        <w:rPr>
          <w:lang w:val="zh-CN" w:eastAsia="zh-CN"/>
        </w:rPr>
        <w:tab/>
      </w:r>
      <w:r>
        <w:rPr>
          <w:lang w:val="zh-CN" w:eastAsia="zh-CN"/>
        </w:rPr>
        <w:fldChar w:fldCharType="begin"/>
      </w:r>
      <w:r>
        <w:rPr>
          <w:lang w:val="zh-CN" w:eastAsia="zh-CN"/>
        </w:rPr>
        <w:instrText xml:space="preserve"> PAGEREF _Toc435690412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"_Toc435690413"</w:instrText>
      </w:r>
      <w:r>
        <w:rPr>
          <w:rStyle w:val="57"/>
          <w:lang w:val="zh-CN" w:eastAsia="zh-CN"/>
        </w:rPr>
        <w:instrText xml:space="preserve"> </w:instrText>
      </w:r>
      <w:r>
        <w:rPr>
          <w:rStyle w:val="57"/>
          <w:lang w:val="zh-CN" w:eastAsia="zh-CN"/>
        </w:rPr>
        <w:fldChar w:fldCharType="separate"/>
      </w:r>
      <w:r>
        <w:rPr>
          <w:rStyle w:val="57"/>
          <w:b/>
          <w:lang w:val="zh-CN" w:eastAsia="zh-CN"/>
        </w:rPr>
        <w:t>2.6</w:t>
      </w:r>
      <w:r>
        <w:rPr>
          <w:rStyle w:val="57"/>
          <w:rFonts w:hint="eastAsia"/>
          <w:b/>
          <w:lang w:val="zh-CN" w:eastAsia="zh-CN"/>
        </w:rPr>
        <w:t>运营期环境影响分析</w:t>
      </w:r>
      <w:r>
        <w:rPr>
          <w:lang w:val="zh-CN" w:eastAsia="zh-CN"/>
        </w:rPr>
        <w:tab/>
      </w:r>
      <w:r>
        <w:rPr>
          <w:lang w:val="zh-CN" w:eastAsia="zh-CN"/>
        </w:rPr>
        <w:fldChar w:fldCharType="begin"/>
      </w:r>
      <w:r>
        <w:rPr>
          <w:lang w:val="zh-CN" w:eastAsia="zh-CN"/>
        </w:rPr>
        <w:instrText xml:space="preserve"> PAGEREF _Toc435690413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"_Toc435690414"</w:instrText>
      </w:r>
      <w:r>
        <w:rPr>
          <w:rStyle w:val="57"/>
          <w:lang w:val="zh-CN" w:eastAsia="zh-CN"/>
        </w:rPr>
        <w:instrText xml:space="preserve"> </w:instrText>
      </w:r>
      <w:r>
        <w:rPr>
          <w:rStyle w:val="57"/>
          <w:lang w:val="zh-CN" w:eastAsia="zh-CN"/>
        </w:rPr>
        <w:fldChar w:fldCharType="separate"/>
      </w:r>
      <w:r>
        <w:rPr>
          <w:rStyle w:val="57"/>
          <w:lang w:val="zh-CN" w:eastAsia="zh-CN"/>
        </w:rPr>
        <w:t>2.6.1</w:t>
      </w:r>
      <w:r>
        <w:rPr>
          <w:rStyle w:val="57"/>
          <w:rFonts w:hint="eastAsia"/>
          <w:lang w:val="zh-CN" w:eastAsia="zh-CN"/>
        </w:rPr>
        <w:t>营运期水环境影响分析</w:t>
      </w:r>
      <w:r>
        <w:rPr>
          <w:lang w:val="zh-CN" w:eastAsia="zh-CN"/>
        </w:rPr>
        <w:tab/>
      </w:r>
      <w:r>
        <w:rPr>
          <w:lang w:val="zh-CN" w:eastAsia="zh-CN"/>
        </w:rPr>
        <w:fldChar w:fldCharType="begin"/>
      </w:r>
      <w:r>
        <w:rPr>
          <w:lang w:val="zh-CN" w:eastAsia="zh-CN"/>
        </w:rPr>
        <w:instrText xml:space="preserve"> PAGEREF _Toc435690414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"_Toc435690415"</w:instrText>
      </w:r>
      <w:r>
        <w:rPr>
          <w:rStyle w:val="57"/>
          <w:lang w:val="zh-CN" w:eastAsia="zh-CN"/>
        </w:rPr>
        <w:instrText xml:space="preserve"> </w:instrText>
      </w:r>
      <w:r>
        <w:rPr>
          <w:rStyle w:val="57"/>
          <w:lang w:val="zh-CN" w:eastAsia="zh-CN"/>
        </w:rPr>
        <w:fldChar w:fldCharType="separate"/>
      </w:r>
      <w:r>
        <w:rPr>
          <w:rStyle w:val="57"/>
          <w:lang w:val="zh-CN" w:eastAsia="zh-CN"/>
        </w:rPr>
        <w:t>2.6.2</w:t>
      </w:r>
      <w:r>
        <w:rPr>
          <w:rStyle w:val="57"/>
          <w:rFonts w:hint="eastAsia"/>
          <w:lang w:val="zh-CN" w:eastAsia="zh-CN"/>
        </w:rPr>
        <w:t>营运期大气环境影响分析</w:t>
      </w:r>
      <w:r>
        <w:rPr>
          <w:lang w:val="zh-CN" w:eastAsia="zh-CN"/>
        </w:rPr>
        <w:tab/>
      </w:r>
      <w:r>
        <w:rPr>
          <w:lang w:val="zh-CN" w:eastAsia="zh-CN"/>
        </w:rPr>
        <w:fldChar w:fldCharType="begin"/>
      </w:r>
      <w:r>
        <w:rPr>
          <w:lang w:val="zh-CN" w:eastAsia="zh-CN"/>
        </w:rPr>
        <w:instrText xml:space="preserve"> PAGEREF _Toc435690415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"_Toc435690416"</w:instrText>
      </w:r>
      <w:r>
        <w:rPr>
          <w:rStyle w:val="57"/>
          <w:lang w:val="zh-CN" w:eastAsia="zh-CN"/>
        </w:rPr>
        <w:instrText xml:space="preserve"> </w:instrText>
      </w:r>
      <w:r>
        <w:rPr>
          <w:rStyle w:val="57"/>
          <w:lang w:val="zh-CN" w:eastAsia="zh-CN"/>
        </w:rPr>
        <w:fldChar w:fldCharType="separate"/>
      </w:r>
      <w:r>
        <w:rPr>
          <w:rStyle w:val="57"/>
          <w:lang w:val="zh-CN" w:eastAsia="zh-CN"/>
        </w:rPr>
        <w:t>2.6.3</w:t>
      </w:r>
      <w:r>
        <w:rPr>
          <w:rStyle w:val="57"/>
          <w:rFonts w:hint="eastAsia"/>
          <w:lang w:val="zh-CN" w:eastAsia="zh-CN"/>
        </w:rPr>
        <w:t>固体废弃物</w:t>
      </w:r>
      <w:r>
        <w:rPr>
          <w:lang w:val="zh-CN" w:eastAsia="zh-CN"/>
        </w:rPr>
        <w:tab/>
      </w:r>
      <w:r>
        <w:rPr>
          <w:lang w:val="zh-CN" w:eastAsia="zh-CN"/>
        </w:rPr>
        <w:fldChar w:fldCharType="begin"/>
      </w:r>
      <w:r>
        <w:rPr>
          <w:lang w:val="zh-CN" w:eastAsia="zh-CN"/>
        </w:rPr>
        <w:instrText xml:space="preserve"> PAGEREF _Toc435690416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"_Toc435690417"</w:instrText>
      </w:r>
      <w:r>
        <w:rPr>
          <w:rStyle w:val="57"/>
          <w:lang w:val="zh-CN" w:eastAsia="zh-CN"/>
        </w:rPr>
        <w:instrText xml:space="preserve"> </w:instrText>
      </w:r>
      <w:r>
        <w:rPr>
          <w:rStyle w:val="57"/>
          <w:lang w:val="zh-CN" w:eastAsia="zh-CN"/>
        </w:rPr>
        <w:fldChar w:fldCharType="separate"/>
      </w:r>
      <w:r>
        <w:rPr>
          <w:rStyle w:val="57"/>
          <w:b/>
          <w:lang w:val="zh-CN" w:eastAsia="zh-CN"/>
        </w:rPr>
        <w:t>2.7</w:t>
      </w:r>
      <w:r>
        <w:rPr>
          <w:rStyle w:val="57"/>
          <w:rFonts w:hint="eastAsia"/>
          <w:b/>
          <w:lang w:val="zh-CN" w:eastAsia="zh-CN"/>
        </w:rPr>
        <w:t>营运期污染物</w:t>
      </w:r>
      <w:r>
        <w:rPr>
          <w:rStyle w:val="57"/>
          <w:b/>
          <w:lang w:val="zh-CN" w:eastAsia="zh-CN"/>
        </w:rPr>
        <w:t>“</w:t>
      </w:r>
      <w:r>
        <w:rPr>
          <w:rStyle w:val="57"/>
          <w:rFonts w:hint="eastAsia"/>
          <w:b/>
          <w:lang w:val="zh-CN" w:eastAsia="zh-CN"/>
        </w:rPr>
        <w:t>三本帐</w:t>
      </w:r>
      <w:r>
        <w:rPr>
          <w:rStyle w:val="57"/>
          <w:b/>
          <w:lang w:val="zh-CN" w:eastAsia="zh-CN"/>
        </w:rPr>
        <w:t>”</w:t>
      </w:r>
      <w:r>
        <w:rPr>
          <w:rStyle w:val="57"/>
          <w:rFonts w:hint="eastAsia"/>
          <w:b/>
          <w:lang w:val="zh-CN" w:eastAsia="zh-CN"/>
        </w:rPr>
        <w:t>核算表</w:t>
      </w:r>
      <w:r>
        <w:rPr>
          <w:lang w:val="zh-CN" w:eastAsia="zh-CN"/>
        </w:rPr>
        <w:tab/>
      </w:r>
      <w:r>
        <w:rPr>
          <w:lang w:val="zh-CN" w:eastAsia="zh-CN"/>
        </w:rPr>
        <w:fldChar w:fldCharType="begin"/>
      </w:r>
      <w:r>
        <w:rPr>
          <w:lang w:val="zh-CN" w:eastAsia="zh-CN"/>
        </w:rPr>
        <w:instrText xml:space="preserve"> PAGEREF _Toc435690417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38"/>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"_Toc435690418"</w:instrText>
      </w:r>
      <w:r>
        <w:rPr>
          <w:rStyle w:val="57"/>
          <w:lang w:val="zh-CN" w:eastAsia="zh-CN"/>
        </w:rPr>
        <w:instrText xml:space="preserve"> </w:instrText>
      </w:r>
      <w:r>
        <w:rPr>
          <w:rStyle w:val="57"/>
          <w:lang w:val="zh-CN" w:eastAsia="zh-CN"/>
        </w:rPr>
        <w:fldChar w:fldCharType="separate"/>
      </w:r>
      <w:r>
        <w:rPr>
          <w:rStyle w:val="57"/>
          <w:b/>
          <w:lang w:val="zh-CN" w:eastAsia="zh-CN"/>
        </w:rPr>
        <w:t>3.</w:t>
      </w:r>
      <w:r>
        <w:rPr>
          <w:rStyle w:val="57"/>
          <w:rFonts w:hint="eastAsia"/>
          <w:b/>
          <w:lang w:val="zh-CN" w:eastAsia="zh-CN"/>
        </w:rPr>
        <w:t>声环境影响预测与评价</w:t>
      </w:r>
      <w:r>
        <w:rPr>
          <w:lang w:val="zh-CN" w:eastAsia="zh-CN"/>
        </w:rPr>
        <w:tab/>
      </w:r>
      <w:r>
        <w:rPr>
          <w:lang w:val="zh-CN" w:eastAsia="zh-CN"/>
        </w:rPr>
        <w:fldChar w:fldCharType="begin"/>
      </w:r>
      <w:r>
        <w:rPr>
          <w:lang w:val="zh-CN" w:eastAsia="zh-CN"/>
        </w:rPr>
        <w:instrText xml:space="preserve"> PAGEREF _Toc435690418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"_Toc435690419"</w:instrText>
      </w:r>
      <w:r>
        <w:rPr>
          <w:rStyle w:val="57"/>
          <w:lang w:val="zh-CN" w:eastAsia="zh-CN"/>
        </w:rPr>
        <w:instrText xml:space="preserve"> </w:instrText>
      </w:r>
      <w:r>
        <w:rPr>
          <w:rStyle w:val="57"/>
          <w:lang w:val="zh-CN" w:eastAsia="zh-CN"/>
        </w:rPr>
        <w:fldChar w:fldCharType="separate"/>
      </w:r>
      <w:r>
        <w:rPr>
          <w:rStyle w:val="57"/>
          <w:b/>
          <w:lang w:val="zh-CN" w:eastAsia="zh-CN"/>
        </w:rPr>
        <w:t>3.1</w:t>
      </w:r>
      <w:r>
        <w:rPr>
          <w:rStyle w:val="57"/>
          <w:rFonts w:hint="eastAsia"/>
          <w:b/>
          <w:lang w:val="zh-CN" w:eastAsia="zh-CN"/>
        </w:rPr>
        <w:t>噪声源情况</w:t>
      </w:r>
      <w:r>
        <w:rPr>
          <w:lang w:val="zh-CN" w:eastAsia="zh-CN"/>
        </w:rPr>
        <w:tab/>
      </w:r>
      <w:r>
        <w:rPr>
          <w:lang w:val="zh-CN" w:eastAsia="zh-CN"/>
        </w:rPr>
        <w:fldChar w:fldCharType="begin"/>
      </w:r>
      <w:r>
        <w:rPr>
          <w:lang w:val="zh-CN" w:eastAsia="zh-CN"/>
        </w:rPr>
        <w:instrText xml:space="preserve"> PAGEREF _Toc435690419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"_Toc435690420"</w:instrText>
      </w:r>
      <w:r>
        <w:rPr>
          <w:rStyle w:val="57"/>
          <w:lang w:val="zh-CN" w:eastAsia="zh-CN"/>
        </w:rPr>
        <w:instrText xml:space="preserve"> </w:instrText>
      </w:r>
      <w:r>
        <w:rPr>
          <w:rStyle w:val="57"/>
          <w:lang w:val="zh-CN" w:eastAsia="zh-CN"/>
        </w:rPr>
        <w:fldChar w:fldCharType="separate"/>
      </w:r>
      <w:r>
        <w:rPr>
          <w:rStyle w:val="57"/>
          <w:b/>
          <w:lang w:val="zh-CN" w:eastAsia="zh-CN"/>
        </w:rPr>
        <w:t>3.2</w:t>
      </w:r>
      <w:r>
        <w:rPr>
          <w:rStyle w:val="57"/>
          <w:rFonts w:hint="eastAsia"/>
          <w:b/>
          <w:lang w:val="zh-CN" w:eastAsia="zh-CN"/>
        </w:rPr>
        <w:t>声环境影响预测</w:t>
      </w:r>
      <w:r>
        <w:rPr>
          <w:lang w:val="zh-CN" w:eastAsia="zh-CN"/>
        </w:rPr>
        <w:tab/>
      </w:r>
      <w:r>
        <w:rPr>
          <w:lang w:val="zh-CN" w:eastAsia="zh-CN"/>
        </w:rPr>
        <w:fldChar w:fldCharType="begin"/>
      </w:r>
      <w:r>
        <w:rPr>
          <w:lang w:val="zh-CN" w:eastAsia="zh-CN"/>
        </w:rPr>
        <w:instrText xml:space="preserve"> PAGEREF _Toc435690420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"_Toc435690421"</w:instrText>
      </w:r>
      <w:r>
        <w:rPr>
          <w:rStyle w:val="57"/>
          <w:lang w:val="zh-CN" w:eastAsia="zh-CN"/>
        </w:rPr>
        <w:instrText xml:space="preserve"> </w:instrText>
      </w:r>
      <w:r>
        <w:rPr>
          <w:rStyle w:val="57"/>
          <w:lang w:val="zh-CN" w:eastAsia="zh-CN"/>
        </w:rPr>
        <w:fldChar w:fldCharType="separate"/>
      </w:r>
      <w:r>
        <w:rPr>
          <w:rStyle w:val="57"/>
          <w:b/>
          <w:lang w:val="zh-CN" w:eastAsia="zh-CN"/>
        </w:rPr>
        <w:t>3.3</w:t>
      </w:r>
      <w:r>
        <w:rPr>
          <w:rStyle w:val="57"/>
          <w:rFonts w:hint="eastAsia"/>
          <w:b/>
          <w:lang w:val="zh-CN" w:eastAsia="zh-CN"/>
        </w:rPr>
        <w:t>噪声预测参数</w:t>
      </w:r>
      <w:r>
        <w:rPr>
          <w:lang w:val="zh-CN" w:eastAsia="zh-CN"/>
        </w:rPr>
        <w:tab/>
      </w:r>
      <w:r>
        <w:rPr>
          <w:lang w:val="zh-CN" w:eastAsia="zh-CN"/>
        </w:rPr>
        <w:fldChar w:fldCharType="begin"/>
      </w:r>
      <w:r>
        <w:rPr>
          <w:lang w:val="zh-CN" w:eastAsia="zh-CN"/>
        </w:rPr>
        <w:instrText xml:space="preserve"> PAGEREF _Toc435690421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"_Toc435690422"</w:instrText>
      </w:r>
      <w:r>
        <w:rPr>
          <w:rStyle w:val="57"/>
          <w:lang w:val="zh-CN" w:eastAsia="zh-CN"/>
        </w:rPr>
        <w:instrText xml:space="preserve"> </w:instrText>
      </w:r>
      <w:r>
        <w:rPr>
          <w:rStyle w:val="57"/>
          <w:lang w:val="zh-CN" w:eastAsia="zh-CN"/>
        </w:rPr>
        <w:fldChar w:fldCharType="separate"/>
      </w:r>
      <w:r>
        <w:rPr>
          <w:rStyle w:val="57"/>
          <w:b/>
          <w:lang w:val="zh-CN" w:eastAsia="zh-CN"/>
        </w:rPr>
        <w:t>3.4</w:t>
      </w:r>
      <w:r>
        <w:rPr>
          <w:rStyle w:val="57"/>
          <w:rFonts w:hint="eastAsia"/>
          <w:b/>
          <w:lang w:val="zh-CN" w:eastAsia="zh-CN"/>
        </w:rPr>
        <w:t>预测结果</w:t>
      </w:r>
      <w:r>
        <w:rPr>
          <w:lang w:val="zh-CN" w:eastAsia="zh-CN"/>
        </w:rPr>
        <w:tab/>
      </w:r>
      <w:r>
        <w:rPr>
          <w:lang w:val="zh-CN" w:eastAsia="zh-CN"/>
        </w:rPr>
        <w:fldChar w:fldCharType="begin"/>
      </w:r>
      <w:r>
        <w:rPr>
          <w:lang w:val="zh-CN" w:eastAsia="zh-CN"/>
        </w:rPr>
        <w:instrText xml:space="preserve"> PAGEREF _Toc435690422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"_Toc435690423"</w:instrText>
      </w:r>
      <w:r>
        <w:rPr>
          <w:rStyle w:val="57"/>
          <w:lang w:val="zh-CN" w:eastAsia="zh-CN"/>
        </w:rPr>
        <w:instrText xml:space="preserve"> </w:instrText>
      </w:r>
      <w:r>
        <w:rPr>
          <w:rStyle w:val="57"/>
          <w:lang w:val="zh-CN" w:eastAsia="zh-CN"/>
        </w:rPr>
        <w:fldChar w:fldCharType="separate"/>
      </w:r>
      <w:r>
        <w:rPr>
          <w:rStyle w:val="57"/>
          <w:b/>
          <w:lang w:val="zh-CN" w:eastAsia="zh-CN"/>
        </w:rPr>
        <w:t>3.5</w:t>
      </w:r>
      <w:r>
        <w:rPr>
          <w:rStyle w:val="57"/>
          <w:rFonts w:hint="eastAsia"/>
          <w:b/>
          <w:lang w:val="zh-CN" w:eastAsia="zh-CN"/>
        </w:rPr>
        <w:t>声环境影响评价结论</w:t>
      </w:r>
      <w:r>
        <w:rPr>
          <w:lang w:val="zh-CN" w:eastAsia="zh-CN"/>
        </w:rPr>
        <w:tab/>
      </w:r>
      <w:r>
        <w:rPr>
          <w:lang w:val="zh-CN" w:eastAsia="zh-CN"/>
        </w:rPr>
        <w:fldChar w:fldCharType="begin"/>
      </w:r>
      <w:r>
        <w:rPr>
          <w:lang w:val="zh-CN" w:eastAsia="zh-CN"/>
        </w:rPr>
        <w:instrText xml:space="preserve"> PAGEREF _Toc435690423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"_Toc435690424"</w:instrText>
      </w:r>
      <w:r>
        <w:rPr>
          <w:rStyle w:val="57"/>
          <w:lang w:val="zh-CN" w:eastAsia="zh-CN"/>
        </w:rPr>
        <w:instrText xml:space="preserve"> </w:instrText>
      </w:r>
      <w:r>
        <w:rPr>
          <w:rStyle w:val="57"/>
          <w:lang w:val="zh-CN" w:eastAsia="zh-CN"/>
        </w:rPr>
        <w:fldChar w:fldCharType="separate"/>
      </w:r>
      <w:r>
        <w:rPr>
          <w:rStyle w:val="57"/>
          <w:b/>
          <w:lang w:val="zh-CN" w:eastAsia="zh-CN"/>
        </w:rPr>
        <w:t>3.6</w:t>
      </w:r>
      <w:r>
        <w:rPr>
          <w:rStyle w:val="57"/>
          <w:rFonts w:hint="eastAsia"/>
          <w:b/>
          <w:lang w:val="zh-CN" w:eastAsia="zh-CN"/>
        </w:rPr>
        <w:t>噪声治理措施评述</w:t>
      </w:r>
      <w:r>
        <w:rPr>
          <w:lang w:val="zh-CN" w:eastAsia="zh-CN"/>
        </w:rPr>
        <w:tab/>
      </w:r>
      <w:r>
        <w:rPr>
          <w:lang w:val="zh-CN" w:eastAsia="zh-CN"/>
        </w:rPr>
        <w:fldChar w:fldCharType="begin"/>
      </w:r>
      <w:r>
        <w:rPr>
          <w:lang w:val="zh-CN" w:eastAsia="zh-CN"/>
        </w:rPr>
        <w:instrText xml:space="preserve"> PAGEREF _Toc435690424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"_Toc435690425"</w:instrText>
      </w:r>
      <w:r>
        <w:rPr>
          <w:rStyle w:val="57"/>
          <w:lang w:val="zh-CN" w:eastAsia="zh-CN"/>
        </w:rPr>
        <w:instrText xml:space="preserve"> </w:instrText>
      </w:r>
      <w:r>
        <w:rPr>
          <w:rStyle w:val="57"/>
          <w:lang w:val="zh-CN" w:eastAsia="zh-CN"/>
        </w:rPr>
        <w:fldChar w:fldCharType="separate"/>
      </w:r>
      <w:r>
        <w:rPr>
          <w:rStyle w:val="57"/>
          <w:lang w:val="zh-CN" w:eastAsia="zh-CN"/>
        </w:rPr>
        <w:t>3.6.1</w:t>
      </w:r>
      <w:r>
        <w:rPr>
          <w:rStyle w:val="57"/>
          <w:rFonts w:hint="eastAsia"/>
          <w:lang w:val="zh-CN" w:eastAsia="zh-CN"/>
        </w:rPr>
        <w:t>交通噪声防治</w:t>
      </w:r>
      <w:r>
        <w:rPr>
          <w:lang w:val="zh-CN" w:eastAsia="zh-CN"/>
        </w:rPr>
        <w:tab/>
      </w:r>
      <w:r>
        <w:rPr>
          <w:lang w:val="zh-CN" w:eastAsia="zh-CN"/>
        </w:rPr>
        <w:fldChar w:fldCharType="begin"/>
      </w:r>
      <w:r>
        <w:rPr>
          <w:lang w:val="zh-CN" w:eastAsia="zh-CN"/>
        </w:rPr>
        <w:instrText xml:space="preserve"> PAGEREF _Toc435690425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"_Toc435690426"</w:instrText>
      </w:r>
      <w:r>
        <w:rPr>
          <w:rStyle w:val="57"/>
          <w:lang w:val="zh-CN" w:eastAsia="zh-CN"/>
        </w:rPr>
        <w:instrText xml:space="preserve"> </w:instrText>
      </w:r>
      <w:r>
        <w:rPr>
          <w:rStyle w:val="57"/>
          <w:lang w:val="zh-CN" w:eastAsia="zh-CN"/>
        </w:rPr>
        <w:fldChar w:fldCharType="separate"/>
      </w:r>
      <w:r>
        <w:rPr>
          <w:rStyle w:val="57"/>
          <w:lang w:val="zh-CN" w:eastAsia="zh-CN"/>
        </w:rPr>
        <w:t>3.6.2</w:t>
      </w:r>
      <w:r>
        <w:rPr>
          <w:rStyle w:val="57"/>
          <w:rFonts w:hint="eastAsia"/>
          <w:lang w:val="zh-CN" w:eastAsia="zh-CN"/>
        </w:rPr>
        <w:t>社会噪声</w:t>
      </w:r>
      <w:r>
        <w:rPr>
          <w:lang w:val="zh-CN" w:eastAsia="zh-CN"/>
        </w:rPr>
        <w:tab/>
      </w:r>
      <w:r>
        <w:rPr>
          <w:lang w:val="zh-CN" w:eastAsia="zh-CN"/>
        </w:rPr>
        <w:fldChar w:fldCharType="begin"/>
      </w:r>
      <w:r>
        <w:rPr>
          <w:lang w:val="zh-CN" w:eastAsia="zh-CN"/>
        </w:rPr>
        <w:instrText xml:space="preserve"> PAGEREF _Toc435690426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"_Toc435690427"</w:instrText>
      </w:r>
      <w:r>
        <w:rPr>
          <w:rStyle w:val="57"/>
          <w:lang w:val="zh-CN" w:eastAsia="zh-CN"/>
        </w:rPr>
        <w:instrText xml:space="preserve"> </w:instrText>
      </w:r>
      <w:r>
        <w:rPr>
          <w:rStyle w:val="57"/>
          <w:lang w:val="zh-CN" w:eastAsia="zh-CN"/>
        </w:rPr>
        <w:fldChar w:fldCharType="separate"/>
      </w:r>
      <w:r>
        <w:rPr>
          <w:rStyle w:val="57"/>
          <w:lang w:val="zh-CN" w:eastAsia="zh-CN"/>
        </w:rPr>
        <w:t>3.6.3</w:t>
      </w:r>
      <w:r>
        <w:rPr>
          <w:rStyle w:val="57"/>
          <w:rFonts w:hint="eastAsia"/>
          <w:lang w:val="zh-CN" w:eastAsia="zh-CN"/>
        </w:rPr>
        <w:t>设备噪声</w:t>
      </w:r>
      <w:r>
        <w:rPr>
          <w:lang w:val="zh-CN" w:eastAsia="zh-CN"/>
        </w:rPr>
        <w:tab/>
      </w:r>
      <w:r>
        <w:rPr>
          <w:lang w:val="zh-CN" w:eastAsia="zh-CN"/>
        </w:rPr>
        <w:fldChar w:fldCharType="begin"/>
      </w:r>
      <w:r>
        <w:rPr>
          <w:lang w:val="zh-CN" w:eastAsia="zh-CN"/>
        </w:rPr>
        <w:instrText xml:space="preserve"> PAGEREF _Toc435690427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"_Toc435690428"</w:instrText>
      </w:r>
      <w:r>
        <w:rPr>
          <w:rStyle w:val="57"/>
          <w:lang w:val="zh-CN" w:eastAsia="zh-CN"/>
        </w:rPr>
        <w:instrText xml:space="preserve"> </w:instrText>
      </w:r>
      <w:r>
        <w:rPr>
          <w:rStyle w:val="57"/>
          <w:lang w:val="zh-CN" w:eastAsia="zh-CN"/>
        </w:rPr>
        <w:fldChar w:fldCharType="separate"/>
      </w:r>
      <w:r>
        <w:rPr>
          <w:rStyle w:val="57"/>
          <w:lang w:val="zh-CN" w:eastAsia="zh-CN"/>
        </w:rPr>
        <w:t>3.6.4</w:t>
      </w:r>
      <w:r>
        <w:rPr>
          <w:rStyle w:val="57"/>
          <w:rFonts w:hint="eastAsia"/>
          <w:lang w:val="zh-CN" w:eastAsia="zh-CN"/>
        </w:rPr>
        <w:t>夜间噪声控制与管理</w:t>
      </w:r>
      <w:r>
        <w:rPr>
          <w:lang w:val="zh-CN" w:eastAsia="zh-CN"/>
        </w:rPr>
        <w:tab/>
      </w:r>
      <w:r>
        <w:rPr>
          <w:lang w:val="zh-CN" w:eastAsia="zh-CN"/>
        </w:rPr>
        <w:fldChar w:fldCharType="begin"/>
      </w:r>
      <w:r>
        <w:rPr>
          <w:lang w:val="zh-CN" w:eastAsia="zh-CN"/>
        </w:rPr>
        <w:instrText xml:space="preserve"> PAGEREF _Toc435690428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"_Toc435690429"</w:instrText>
      </w:r>
      <w:r>
        <w:rPr>
          <w:rStyle w:val="57"/>
          <w:lang w:val="zh-CN" w:eastAsia="zh-CN"/>
        </w:rPr>
        <w:instrText xml:space="preserve"> </w:instrText>
      </w:r>
      <w:r>
        <w:rPr>
          <w:rStyle w:val="57"/>
          <w:lang w:val="zh-CN" w:eastAsia="zh-CN"/>
        </w:rPr>
        <w:fldChar w:fldCharType="separate"/>
      </w:r>
      <w:r>
        <w:rPr>
          <w:rStyle w:val="57"/>
          <w:b/>
          <w:lang w:val="zh-CN" w:eastAsia="zh-CN"/>
        </w:rPr>
        <w:t>3.6</w:t>
      </w:r>
      <w:r>
        <w:rPr>
          <w:rStyle w:val="57"/>
          <w:rFonts w:hint="eastAsia"/>
          <w:b/>
          <w:lang w:val="zh-CN" w:eastAsia="zh-CN"/>
        </w:rPr>
        <w:t>运输环节环境影响分析</w:t>
      </w:r>
      <w:r>
        <w:rPr>
          <w:lang w:val="zh-CN" w:eastAsia="zh-CN"/>
        </w:rPr>
        <w:tab/>
      </w:r>
      <w:r>
        <w:rPr>
          <w:lang w:val="zh-CN" w:eastAsia="zh-CN"/>
        </w:rPr>
        <w:fldChar w:fldCharType="begin"/>
      </w:r>
      <w:r>
        <w:rPr>
          <w:lang w:val="zh-CN" w:eastAsia="zh-CN"/>
        </w:rPr>
        <w:instrText xml:space="preserve"> PAGEREF _Toc435690429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"_Toc435690430"</w:instrText>
      </w:r>
      <w:r>
        <w:rPr>
          <w:rStyle w:val="57"/>
          <w:lang w:val="zh-CN" w:eastAsia="zh-CN"/>
        </w:rPr>
        <w:instrText xml:space="preserve"> </w:instrText>
      </w:r>
      <w:r>
        <w:rPr>
          <w:rStyle w:val="57"/>
          <w:lang w:val="zh-CN" w:eastAsia="zh-CN"/>
        </w:rPr>
        <w:fldChar w:fldCharType="separate"/>
      </w:r>
      <w:r>
        <w:rPr>
          <w:rStyle w:val="57"/>
          <w:lang w:val="zh-CN" w:eastAsia="zh-CN"/>
        </w:rPr>
        <w:t>3.6.1</w:t>
      </w:r>
      <w:r>
        <w:rPr>
          <w:rStyle w:val="57"/>
          <w:rFonts w:hint="eastAsia"/>
          <w:lang w:val="zh-CN" w:eastAsia="zh-CN"/>
        </w:rPr>
        <w:t>周边道路设施现状及运输需求分析</w:t>
      </w:r>
      <w:r>
        <w:rPr>
          <w:lang w:val="zh-CN" w:eastAsia="zh-CN"/>
        </w:rPr>
        <w:tab/>
      </w:r>
      <w:r>
        <w:rPr>
          <w:lang w:val="zh-CN" w:eastAsia="zh-CN"/>
        </w:rPr>
        <w:fldChar w:fldCharType="begin"/>
      </w:r>
      <w:r>
        <w:rPr>
          <w:lang w:val="zh-CN" w:eastAsia="zh-CN"/>
        </w:rPr>
        <w:instrText xml:space="preserve"> PAGEREF _Toc435690430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29"/>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"_Toc435690431"</w:instrText>
      </w:r>
      <w:r>
        <w:rPr>
          <w:rStyle w:val="57"/>
          <w:lang w:val="zh-CN" w:eastAsia="zh-CN"/>
        </w:rPr>
        <w:instrText xml:space="preserve"> </w:instrText>
      </w:r>
      <w:r>
        <w:rPr>
          <w:rStyle w:val="57"/>
          <w:lang w:val="zh-CN" w:eastAsia="zh-CN"/>
        </w:rPr>
        <w:fldChar w:fldCharType="separate"/>
      </w:r>
      <w:r>
        <w:rPr>
          <w:rStyle w:val="57"/>
          <w:lang w:val="zh-CN" w:eastAsia="zh-CN"/>
        </w:rPr>
        <w:t>3.6.2</w:t>
      </w:r>
      <w:r>
        <w:rPr>
          <w:rStyle w:val="57"/>
          <w:rFonts w:hint="eastAsia"/>
          <w:lang w:val="zh-CN" w:eastAsia="zh-CN"/>
        </w:rPr>
        <w:t>运输环节环境影响分析</w:t>
      </w:r>
      <w:r>
        <w:rPr>
          <w:lang w:val="zh-CN" w:eastAsia="zh-CN"/>
        </w:rPr>
        <w:tab/>
      </w:r>
      <w:r>
        <w:rPr>
          <w:lang w:val="zh-CN" w:eastAsia="zh-CN"/>
        </w:rPr>
        <w:fldChar w:fldCharType="begin"/>
      </w:r>
      <w:r>
        <w:rPr>
          <w:lang w:val="zh-CN" w:eastAsia="zh-CN"/>
        </w:rPr>
        <w:instrText xml:space="preserve"> PAGEREF _Toc435690431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38"/>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"_Toc435690432"</w:instrText>
      </w:r>
      <w:r>
        <w:rPr>
          <w:rStyle w:val="57"/>
          <w:lang w:val="zh-CN" w:eastAsia="zh-CN"/>
        </w:rPr>
        <w:instrText xml:space="preserve"> </w:instrText>
      </w:r>
      <w:r>
        <w:rPr>
          <w:rStyle w:val="57"/>
          <w:lang w:val="zh-CN" w:eastAsia="zh-CN"/>
        </w:rPr>
        <w:fldChar w:fldCharType="separate"/>
      </w:r>
      <w:r>
        <w:rPr>
          <w:rStyle w:val="57"/>
          <w:b/>
          <w:lang w:val="zh-CN" w:eastAsia="zh-CN"/>
        </w:rPr>
        <w:t>4</w:t>
      </w:r>
      <w:r>
        <w:rPr>
          <w:rStyle w:val="57"/>
          <w:rFonts w:hint="eastAsia"/>
          <w:b/>
          <w:lang w:val="zh-CN" w:eastAsia="zh-CN"/>
        </w:rPr>
        <w:t>结论</w:t>
      </w:r>
      <w:r>
        <w:rPr>
          <w:lang w:val="zh-CN" w:eastAsia="zh-CN"/>
        </w:rPr>
        <w:tab/>
      </w:r>
      <w:r>
        <w:rPr>
          <w:lang w:val="zh-CN" w:eastAsia="zh-CN"/>
        </w:rPr>
        <w:fldChar w:fldCharType="begin"/>
      </w:r>
      <w:r>
        <w:rPr>
          <w:lang w:val="zh-CN" w:eastAsia="zh-CN"/>
        </w:rPr>
        <w:instrText xml:space="preserve"> PAGEREF _Toc435690432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"_Toc435690433"</w:instrText>
      </w:r>
      <w:r>
        <w:rPr>
          <w:rStyle w:val="57"/>
          <w:lang w:val="zh-CN" w:eastAsia="zh-CN"/>
        </w:rPr>
        <w:instrText xml:space="preserve"> </w:instrText>
      </w:r>
      <w:r>
        <w:rPr>
          <w:rStyle w:val="57"/>
          <w:lang w:val="zh-CN" w:eastAsia="zh-CN"/>
        </w:rPr>
        <w:fldChar w:fldCharType="separate"/>
      </w:r>
      <w:r>
        <w:rPr>
          <w:rStyle w:val="57"/>
          <w:b/>
          <w:lang w:val="zh-CN" w:eastAsia="zh-CN"/>
        </w:rPr>
        <w:t>4.1</w:t>
      </w:r>
      <w:r>
        <w:rPr>
          <w:rStyle w:val="57"/>
          <w:rFonts w:hint="eastAsia"/>
          <w:b/>
          <w:lang w:val="zh-CN" w:eastAsia="zh-CN"/>
        </w:rPr>
        <w:t>产业政策符合性</w:t>
      </w:r>
      <w:r>
        <w:rPr>
          <w:lang w:val="zh-CN" w:eastAsia="zh-CN"/>
        </w:rPr>
        <w:tab/>
      </w:r>
      <w:r>
        <w:rPr>
          <w:lang w:val="zh-CN" w:eastAsia="zh-CN"/>
        </w:rPr>
        <w:fldChar w:fldCharType="begin"/>
      </w:r>
      <w:r>
        <w:rPr>
          <w:lang w:val="zh-CN" w:eastAsia="zh-CN"/>
        </w:rPr>
        <w:instrText xml:space="preserve"> PAGEREF _Toc435690433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"_Toc435690434"</w:instrText>
      </w:r>
      <w:r>
        <w:rPr>
          <w:rStyle w:val="57"/>
          <w:lang w:val="zh-CN" w:eastAsia="zh-CN"/>
        </w:rPr>
        <w:instrText xml:space="preserve"> </w:instrText>
      </w:r>
      <w:r>
        <w:rPr>
          <w:rStyle w:val="57"/>
          <w:lang w:val="zh-CN" w:eastAsia="zh-CN"/>
        </w:rPr>
        <w:fldChar w:fldCharType="separate"/>
      </w:r>
      <w:r>
        <w:rPr>
          <w:rStyle w:val="57"/>
          <w:b/>
          <w:lang w:val="zh-CN" w:eastAsia="zh-CN"/>
        </w:rPr>
        <w:t>4.2</w:t>
      </w:r>
      <w:r>
        <w:rPr>
          <w:rStyle w:val="57"/>
          <w:rFonts w:hint="eastAsia"/>
          <w:b/>
          <w:lang w:val="zh-CN" w:eastAsia="zh-CN"/>
        </w:rPr>
        <w:t>与当地总体发展规划的相容性</w:t>
      </w:r>
      <w:r>
        <w:rPr>
          <w:lang w:val="zh-CN" w:eastAsia="zh-CN"/>
        </w:rPr>
        <w:tab/>
      </w:r>
      <w:r>
        <w:rPr>
          <w:lang w:val="zh-CN" w:eastAsia="zh-CN"/>
        </w:rPr>
        <w:fldChar w:fldCharType="begin"/>
      </w:r>
      <w:r>
        <w:rPr>
          <w:lang w:val="zh-CN" w:eastAsia="zh-CN"/>
        </w:rPr>
        <w:instrText xml:space="preserve"> PAGEREF _Toc435690434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"_Toc435690435"</w:instrText>
      </w:r>
      <w:r>
        <w:rPr>
          <w:rStyle w:val="57"/>
          <w:lang w:val="zh-CN" w:eastAsia="zh-CN"/>
        </w:rPr>
        <w:instrText xml:space="preserve"> </w:instrText>
      </w:r>
      <w:r>
        <w:rPr>
          <w:rStyle w:val="57"/>
          <w:lang w:val="zh-CN" w:eastAsia="zh-CN"/>
        </w:rPr>
        <w:fldChar w:fldCharType="separate"/>
      </w:r>
      <w:r>
        <w:rPr>
          <w:rStyle w:val="57"/>
          <w:b/>
          <w:lang w:val="zh-CN" w:eastAsia="zh-CN"/>
        </w:rPr>
        <w:t>4.3</w:t>
      </w:r>
      <w:r>
        <w:rPr>
          <w:rStyle w:val="57"/>
          <w:rFonts w:hint="eastAsia"/>
          <w:b/>
          <w:lang w:val="zh-CN" w:eastAsia="zh-CN"/>
        </w:rPr>
        <w:t>清洁生产分析</w:t>
      </w:r>
      <w:r>
        <w:rPr>
          <w:lang w:val="zh-CN" w:eastAsia="zh-CN"/>
        </w:rPr>
        <w:tab/>
      </w:r>
      <w:r>
        <w:rPr>
          <w:lang w:val="zh-CN" w:eastAsia="zh-CN"/>
        </w:rPr>
        <w:fldChar w:fldCharType="begin"/>
      </w:r>
      <w:r>
        <w:rPr>
          <w:lang w:val="zh-CN" w:eastAsia="zh-CN"/>
        </w:rPr>
        <w:instrText xml:space="preserve"> PAGEREF _Toc435690435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"_Toc435690436"</w:instrText>
      </w:r>
      <w:r>
        <w:rPr>
          <w:rStyle w:val="57"/>
          <w:lang w:val="zh-CN" w:eastAsia="zh-CN"/>
        </w:rPr>
        <w:instrText xml:space="preserve"> </w:instrText>
      </w:r>
      <w:r>
        <w:rPr>
          <w:rStyle w:val="57"/>
          <w:lang w:val="zh-CN" w:eastAsia="zh-CN"/>
        </w:rPr>
        <w:fldChar w:fldCharType="separate"/>
      </w:r>
      <w:r>
        <w:rPr>
          <w:rStyle w:val="57"/>
          <w:b/>
          <w:lang w:val="zh-CN" w:eastAsia="zh-CN"/>
        </w:rPr>
        <w:t>4.4</w:t>
      </w:r>
      <w:r>
        <w:rPr>
          <w:rStyle w:val="57"/>
          <w:rFonts w:hint="eastAsia"/>
          <w:b/>
          <w:lang w:val="zh-CN" w:eastAsia="zh-CN"/>
        </w:rPr>
        <w:t>环境质量现状</w:t>
      </w:r>
      <w:r>
        <w:rPr>
          <w:lang w:val="zh-CN" w:eastAsia="zh-CN"/>
        </w:rPr>
        <w:tab/>
      </w:r>
      <w:r>
        <w:rPr>
          <w:lang w:val="zh-CN" w:eastAsia="zh-CN"/>
        </w:rPr>
        <w:fldChar w:fldCharType="begin"/>
      </w:r>
      <w:r>
        <w:rPr>
          <w:lang w:val="zh-CN" w:eastAsia="zh-CN"/>
        </w:rPr>
        <w:instrText xml:space="preserve"> PAGEREF _Toc435690436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"_Toc435690437"</w:instrText>
      </w:r>
      <w:r>
        <w:rPr>
          <w:rStyle w:val="57"/>
          <w:lang w:val="zh-CN" w:eastAsia="zh-CN"/>
        </w:rPr>
        <w:instrText xml:space="preserve"> </w:instrText>
      </w:r>
      <w:r>
        <w:rPr>
          <w:rStyle w:val="57"/>
          <w:lang w:val="zh-CN" w:eastAsia="zh-CN"/>
        </w:rPr>
        <w:fldChar w:fldCharType="separate"/>
      </w:r>
      <w:r>
        <w:rPr>
          <w:rStyle w:val="57"/>
          <w:b/>
          <w:lang w:val="zh-CN" w:eastAsia="zh-CN"/>
        </w:rPr>
        <w:t>4.5</w:t>
      </w:r>
      <w:r>
        <w:rPr>
          <w:rStyle w:val="57"/>
          <w:rFonts w:hint="eastAsia"/>
          <w:b/>
          <w:lang w:val="zh-CN" w:eastAsia="zh-CN"/>
        </w:rPr>
        <w:t>污染防治措施与环境影响分析</w:t>
      </w:r>
      <w:r>
        <w:rPr>
          <w:lang w:val="zh-CN" w:eastAsia="zh-CN"/>
        </w:rPr>
        <w:tab/>
      </w:r>
      <w:r>
        <w:rPr>
          <w:lang w:val="zh-CN" w:eastAsia="zh-CN"/>
        </w:rPr>
        <w:fldChar w:fldCharType="begin"/>
      </w:r>
      <w:r>
        <w:rPr>
          <w:lang w:val="zh-CN" w:eastAsia="zh-CN"/>
        </w:rPr>
        <w:instrText xml:space="preserve"> PAGEREF _Toc435690437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"_Toc435690438"</w:instrText>
      </w:r>
      <w:r>
        <w:rPr>
          <w:rStyle w:val="57"/>
          <w:lang w:val="zh-CN" w:eastAsia="zh-CN"/>
        </w:rPr>
        <w:instrText xml:space="preserve"> </w:instrText>
      </w:r>
      <w:r>
        <w:rPr>
          <w:rStyle w:val="57"/>
          <w:lang w:val="zh-CN" w:eastAsia="zh-CN"/>
        </w:rPr>
        <w:fldChar w:fldCharType="separate"/>
      </w:r>
      <w:r>
        <w:rPr>
          <w:rStyle w:val="57"/>
          <w:b/>
          <w:lang w:val="zh-CN" w:eastAsia="zh-CN"/>
        </w:rPr>
        <w:t>4.6</w:t>
      </w:r>
      <w:r>
        <w:rPr>
          <w:rStyle w:val="57"/>
          <w:rFonts w:hint="eastAsia"/>
          <w:b/>
          <w:lang w:val="zh-CN" w:eastAsia="zh-CN"/>
        </w:rPr>
        <w:t>总量控制</w:t>
      </w:r>
      <w:r>
        <w:rPr>
          <w:lang w:val="zh-CN" w:eastAsia="zh-CN"/>
        </w:rPr>
        <w:tab/>
      </w:r>
      <w:r>
        <w:rPr>
          <w:lang w:val="zh-CN" w:eastAsia="zh-CN"/>
        </w:rPr>
        <w:fldChar w:fldCharType="begin"/>
      </w:r>
      <w:r>
        <w:rPr>
          <w:lang w:val="zh-CN" w:eastAsia="zh-CN"/>
        </w:rPr>
        <w:instrText xml:space="preserve"> PAGEREF _Toc435690438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rPr>
          <w:rFonts w:ascii="Calibri" w:hAnsi="Calibri"/>
          <w:szCs w:val="22"/>
          <w:lang w:val="zh-CN" w:eastAsia="zh-CN"/>
        </w:rPr>
      </w:pPr>
      <w:r>
        <w:rPr>
          <w:rStyle w:val="57"/>
          <w:lang w:val="zh-CN" w:eastAsia="zh-CN"/>
        </w:rPr>
        <w:fldChar w:fldCharType="begin"/>
      </w:r>
      <w:r>
        <w:rPr>
          <w:rStyle w:val="57"/>
          <w:lang w:val="zh-CN" w:eastAsia="zh-CN"/>
        </w:rPr>
        <w:instrText xml:space="preserve"> </w:instrText>
      </w:r>
      <w:r>
        <w:rPr>
          <w:lang w:val="zh-CN" w:eastAsia="zh-CN"/>
        </w:rPr>
        <w:instrText xml:space="preserve">HYPERLINK \l "_Toc435690439"</w:instrText>
      </w:r>
      <w:r>
        <w:rPr>
          <w:rStyle w:val="57"/>
          <w:lang w:val="zh-CN" w:eastAsia="zh-CN"/>
        </w:rPr>
        <w:instrText xml:space="preserve"> </w:instrText>
      </w:r>
      <w:r>
        <w:rPr>
          <w:rStyle w:val="57"/>
          <w:lang w:val="zh-CN" w:eastAsia="zh-CN"/>
        </w:rPr>
        <w:fldChar w:fldCharType="separate"/>
      </w:r>
      <w:r>
        <w:rPr>
          <w:rStyle w:val="57"/>
          <w:b/>
          <w:lang w:val="zh-CN" w:eastAsia="zh-CN"/>
        </w:rPr>
        <w:t>4.7</w:t>
      </w:r>
      <w:r>
        <w:rPr>
          <w:rStyle w:val="57"/>
          <w:rFonts w:hint="eastAsia"/>
          <w:b/>
          <w:lang w:val="zh-CN" w:eastAsia="zh-CN"/>
        </w:rPr>
        <w:t>环保要求和建议</w:t>
      </w:r>
      <w:r>
        <w:rPr>
          <w:lang w:val="zh-CN" w:eastAsia="zh-CN"/>
        </w:rPr>
        <w:tab/>
      </w:r>
      <w:r>
        <w:rPr>
          <w:lang w:val="zh-CN" w:eastAsia="zh-CN"/>
        </w:rPr>
        <w:fldChar w:fldCharType="begin"/>
      </w:r>
      <w:r>
        <w:rPr>
          <w:lang w:val="zh-CN" w:eastAsia="zh-CN"/>
        </w:rPr>
        <w:instrText xml:space="preserve"> PAGEREF _Toc435690439 \h </w:instrText>
      </w:r>
      <w:r>
        <w:rPr>
          <w:lang w:val="zh-CN" w:eastAsia="zh-CN"/>
        </w:rPr>
        <w:fldChar w:fldCharType="separate"/>
      </w:r>
      <w:r>
        <w:rPr>
          <w:lang w:val="zh-CN" w:eastAsia="zh-CN"/>
        </w:rPr>
        <w:t>1</w:t>
      </w:r>
      <w:r>
        <w:rPr>
          <w:lang w:val="zh-CN" w:eastAsia="zh-CN"/>
        </w:rPr>
        <w:fldChar w:fldCharType="end"/>
      </w:r>
      <w:r>
        <w:rPr>
          <w:rStyle w:val="57"/>
          <w:lang w:val="zh-CN" w:eastAsia="zh-CN"/>
        </w:rPr>
        <w:fldChar w:fldCharType="end"/>
      </w:r>
    </w:p>
    <w:p>
      <w:pPr>
        <w:pStyle w:val="44"/>
        <w:tabs>
          <w:tab w:val="right" w:leader="dot" w:pos="8296"/>
        </w:tabs>
        <w:spacing w:line="540" w:lineRule="exact"/>
      </w:pPr>
      <w:r>
        <w:fldChar w:fldCharType="end"/>
      </w:r>
    </w:p>
    <w:p>
      <w:pPr>
        <w:spacing w:line="540" w:lineRule="exact"/>
        <w:jc w:val="center"/>
        <w:rPr>
          <w:sz w:val="28"/>
          <w:szCs w:val="28"/>
        </w:rPr>
        <w:sectPr>
          <w:pgSz w:w="11906" w:h="16838"/>
          <w:pgMar w:top="1440" w:right="1800" w:bottom="1440" w:left="1800" w:header="851" w:footer="992" w:gutter="0"/>
          <w:pgNumType w:fmt="upperRoman" w:start="1"/>
          <w:cols w:space="425" w:num="1"/>
          <w:docGrid w:type="lines" w:linePitch="312" w:charSpace="0"/>
        </w:sectPr>
      </w:pPr>
    </w:p>
    <w:p>
      <w:pPr>
        <w:pStyle w:val="2"/>
        <w:spacing w:before="0" w:after="0" w:line="360" w:lineRule="auto"/>
        <w:rPr>
          <w:rFonts w:eastAsia="宋体"/>
          <w:b/>
          <w:color w:val="auto"/>
          <w:sz w:val="32"/>
          <w:szCs w:val="32"/>
        </w:rPr>
      </w:pPr>
      <w:bookmarkStart w:id="18" w:name="_Toc435690377"/>
      <w:r>
        <w:rPr>
          <w:rFonts w:eastAsia="宋体"/>
          <w:b/>
          <w:color w:val="auto"/>
          <w:sz w:val="32"/>
          <w:szCs w:val="32"/>
        </w:rPr>
        <w:t>1</w:t>
      </w:r>
      <w:bookmarkEnd w:id="0"/>
      <w:r>
        <w:rPr>
          <w:rFonts w:eastAsia="宋体"/>
          <w:b/>
          <w:color w:val="auto"/>
          <w:sz w:val="32"/>
          <w:szCs w:val="32"/>
        </w:rPr>
        <w:t>前言</w:t>
      </w:r>
      <w:bookmarkEnd w:id="18"/>
    </w:p>
    <w:p>
      <w:pPr>
        <w:pStyle w:val="3"/>
        <w:adjustRightInd w:val="0"/>
        <w:snapToGrid w:val="0"/>
        <w:spacing w:before="0" w:after="0" w:line="360" w:lineRule="auto"/>
        <w:rPr>
          <w:rFonts w:ascii="Times New Roman" w:hAnsi="Times New Roman" w:eastAsia="宋体"/>
          <w:b/>
          <w:bCs/>
          <w:sz w:val="28"/>
          <w:szCs w:val="28"/>
        </w:rPr>
      </w:pPr>
      <w:bookmarkStart w:id="19" w:name="_Toc478270489"/>
      <w:bookmarkStart w:id="20" w:name="_Toc150455514"/>
      <w:bookmarkStart w:id="21" w:name="_Toc157931244"/>
      <w:bookmarkStart w:id="22" w:name="_Toc183510512"/>
      <w:bookmarkStart w:id="23" w:name="_Toc203382491"/>
      <w:bookmarkStart w:id="24" w:name="_Toc228179852"/>
      <w:bookmarkStart w:id="25" w:name="_Toc239778232"/>
      <w:bookmarkStart w:id="26" w:name="_Toc435690378"/>
      <w:r>
        <w:rPr>
          <w:rFonts w:ascii="Times New Roman" w:hAnsi="Times New Roman" w:eastAsia="宋体"/>
          <w:b/>
          <w:bCs/>
          <w:sz w:val="28"/>
          <w:szCs w:val="28"/>
        </w:rPr>
        <w:t>1.1项目由来</w:t>
      </w:r>
      <w:bookmarkEnd w:id="19"/>
      <w:bookmarkEnd w:id="20"/>
      <w:bookmarkEnd w:id="21"/>
      <w:bookmarkEnd w:id="22"/>
      <w:bookmarkEnd w:id="23"/>
      <w:bookmarkEnd w:id="24"/>
      <w:bookmarkEnd w:id="25"/>
      <w:bookmarkEnd w:id="26"/>
    </w:p>
    <w:p>
      <w:pPr>
        <w:adjustRightInd w:val="0"/>
        <w:snapToGrid w:val="0"/>
        <w:spacing w:line="360" w:lineRule="auto"/>
        <w:ind w:firstLine="480" w:firstLineChars="200"/>
        <w:rPr>
          <w:rFonts w:hint="eastAsia"/>
          <w:kern w:val="0"/>
          <w:sz w:val="24"/>
        </w:rPr>
      </w:pPr>
      <w:bookmarkStart w:id="27" w:name="OLE_LINK15"/>
      <w:bookmarkStart w:id="28" w:name="OLE_LINK16"/>
      <w:r>
        <w:rPr>
          <w:kern w:val="0"/>
          <w:sz w:val="24"/>
        </w:rPr>
        <w:t>苏宁</w:t>
      </w:r>
      <w:r>
        <w:rPr>
          <w:rFonts w:hint="eastAsia"/>
          <w:kern w:val="0"/>
          <w:sz w:val="24"/>
        </w:rPr>
        <w:t>控股集团</w:t>
      </w:r>
      <w:r>
        <w:rPr>
          <w:kern w:val="0"/>
          <w:sz w:val="24"/>
        </w:rPr>
        <w:t>（以下简称“苏宁”）是中国3C家电连锁零售企业的领先者，国家商务部重点培育的“全国15家大型商业企业集团”之一。目前，苏宁的国内连锁网络覆盖了华东一区、华东二区、华北、华南、西北、西南、东北、华中8个行政区域，连锁发展全面由横向扩张转向纵向渗透。二、三级城市连锁发展初具成效，建立了从采购、零售、仓储、配送、安装、维修至保养的一体化服务体系，是国内最大的家电及消费电子产品专营连锁企业之一。2008年，苏宁易购上线以来，2009年销售额30亿，2010年销售额58亿，同比增长93.3%；2011年销售额80亿，同比增长37.9%； 2012年对苏宁易购进行全面的升级和产业助推，预计销售额将达到300亿</w:t>
      </w:r>
      <w:r>
        <w:rPr>
          <w:rFonts w:hint="eastAsia"/>
          <w:kern w:val="0"/>
          <w:sz w:val="24"/>
        </w:rPr>
        <w:t>，</w:t>
      </w:r>
      <w:r>
        <w:rPr>
          <w:kern w:val="0"/>
          <w:sz w:val="24"/>
        </w:rPr>
        <w:t>日订单处理量达30万单/天，销售高峰期预计达到100万/天。</w:t>
      </w:r>
      <w:r>
        <w:rPr>
          <w:rFonts w:hint="eastAsia"/>
          <w:kern w:val="0"/>
          <w:sz w:val="24"/>
        </w:rPr>
        <w:t>苏宁电器股份有限公司于2006年投资1.6亿元人民币建设了（江苏）物流中心项目，建设内容包括物流配送中心、研发办公楼、数据中心、物流及售后楼、食堂等，该项目已取得南京市雨花台区环保局的环评批复。</w:t>
      </w:r>
    </w:p>
    <w:p>
      <w:pPr>
        <w:adjustRightInd w:val="0"/>
        <w:snapToGrid w:val="0"/>
        <w:spacing w:line="360" w:lineRule="auto"/>
        <w:ind w:firstLine="480" w:firstLineChars="200"/>
        <w:rPr>
          <w:rFonts w:hint="eastAsia"/>
          <w:kern w:val="0"/>
          <w:sz w:val="24"/>
        </w:rPr>
      </w:pPr>
      <w:r>
        <w:rPr>
          <w:rFonts w:hint="eastAsia"/>
          <w:kern w:val="0"/>
          <w:sz w:val="24"/>
        </w:rPr>
        <w:t>南京爱普莱斯高新产业有限公司</w:t>
      </w:r>
      <w:r>
        <w:rPr>
          <w:kern w:val="0"/>
          <w:sz w:val="24"/>
        </w:rPr>
        <w:t>是苏宁</w:t>
      </w:r>
      <w:r>
        <w:rPr>
          <w:rFonts w:hint="eastAsia"/>
          <w:kern w:val="0"/>
          <w:sz w:val="24"/>
        </w:rPr>
        <w:t>控股集团</w:t>
      </w:r>
      <w:r>
        <w:rPr>
          <w:kern w:val="0"/>
          <w:sz w:val="24"/>
        </w:rPr>
        <w:t>为建设雨花物流工业园，同时为积极响应雨花区政府、雨花经济开发区管委会的号召而设立的分公司</w:t>
      </w:r>
      <w:r>
        <w:rPr>
          <w:rFonts w:hint="eastAsia"/>
          <w:kern w:val="0"/>
          <w:sz w:val="24"/>
        </w:rPr>
        <w:t>。南京爱普莱斯于2006年投资150000万元，在南京雨花经济开发区建设年产100万台空调、100万台无氟冰箱、100万台白色小家电产品项目，项目占地面积466669平方米（697.8亩）。该项目环境影响报告表已于2006年10月15日获得了南京市雨花台区环保局的环评批复（环评批复见附件）。2012年公司从长远发展的战略布局出发，对公司内部作出了整合、梳理，将公司名称由南京爱普莱斯高新科技有限公司更名为南京鼎邦网络科技有限公司。同时对原有“年产100万台空调、100万台无氟冰箱、100万台白色小家电产品项目”进行调整。调整后，建设项目分为A区和B区，其中原有项目地块东南侧研发A区项目</w:t>
      </w:r>
      <w:r>
        <w:rPr>
          <w:kern w:val="0"/>
          <w:sz w:val="24"/>
        </w:rPr>
        <w:t>占地面积约</w:t>
      </w:r>
      <w:r>
        <w:rPr>
          <w:rFonts w:hint="eastAsia"/>
          <w:kern w:val="0"/>
          <w:sz w:val="24"/>
        </w:rPr>
        <w:t>69825</w:t>
      </w:r>
      <w:r>
        <w:rPr>
          <w:kern w:val="0"/>
          <w:sz w:val="24"/>
        </w:rPr>
        <w:t>平方米，</w:t>
      </w:r>
      <w:r>
        <w:rPr>
          <w:rFonts w:hint="eastAsia"/>
          <w:kern w:val="0"/>
          <w:sz w:val="24"/>
        </w:rPr>
        <w:t>单独办理了规划许可及施工许可证，主要建设内容为研发楼、生活配套用房、会议中心及产品展示中心，该项目已进行环评修编并于2015年取得南京市雨花台区环保局的批复（雨环表复【2015】27号）。</w:t>
      </w:r>
      <w:r>
        <w:rPr>
          <w:kern w:val="0"/>
          <w:sz w:val="24"/>
        </w:rPr>
        <w:t>为了满足苏宁易购的快速发展</w:t>
      </w:r>
      <w:r>
        <w:rPr>
          <w:rFonts w:hint="eastAsia"/>
          <w:kern w:val="0"/>
          <w:sz w:val="24"/>
        </w:rPr>
        <w:t>，原有项目B区重新办理了立项（谷发展项字【2013】39号），</w:t>
      </w:r>
      <w:r>
        <w:rPr>
          <w:kern w:val="0"/>
          <w:sz w:val="24"/>
        </w:rPr>
        <w:t>南京鼎邦网络科技有限公司投资</w:t>
      </w:r>
      <w:r>
        <w:rPr>
          <w:sz w:val="24"/>
        </w:rPr>
        <w:t>94281.9万元建设雨花物流自动化二期项目</w:t>
      </w:r>
      <w:r>
        <w:rPr>
          <w:rFonts w:hint="eastAsia"/>
          <w:kern w:val="0"/>
          <w:sz w:val="24"/>
        </w:rPr>
        <w:t>。原有年产100万台空调、100万台无氟冰箱、100万台白色小家电产品项目将不再建设。</w:t>
      </w:r>
    </w:p>
    <w:p>
      <w:pPr>
        <w:adjustRightInd w:val="0"/>
        <w:snapToGrid w:val="0"/>
        <w:spacing w:line="360" w:lineRule="auto"/>
        <w:ind w:firstLine="480" w:firstLineChars="200"/>
        <w:rPr>
          <w:sz w:val="24"/>
        </w:rPr>
      </w:pPr>
      <w:r>
        <w:rPr>
          <w:sz w:val="24"/>
        </w:rPr>
        <w:t>雨花物流自动化二期项目总用地面积396449 m</w:t>
      </w:r>
      <w:r>
        <w:rPr>
          <w:sz w:val="24"/>
          <w:vertAlign w:val="superscript"/>
        </w:rPr>
        <w:t>2</w:t>
      </w:r>
      <w:r>
        <w:rPr>
          <w:sz w:val="24"/>
        </w:rPr>
        <w:t>，总建筑面积516562.44m</w:t>
      </w:r>
      <w:r>
        <w:rPr>
          <w:sz w:val="24"/>
          <w:vertAlign w:val="superscript"/>
        </w:rPr>
        <w:t>2</w:t>
      </w:r>
      <w:r>
        <w:rPr>
          <w:sz w:val="24"/>
        </w:rPr>
        <w:t>，主要构筑物主体以物流仓库、</w:t>
      </w:r>
      <w:r>
        <w:rPr>
          <w:rFonts w:hint="eastAsia"/>
          <w:sz w:val="24"/>
        </w:rPr>
        <w:t>研发办公、</w:t>
      </w:r>
      <w:r>
        <w:rPr>
          <w:sz w:val="24"/>
        </w:rPr>
        <w:t>分拣中心及配套门卫等，以支持华东地区为主，商品将涉及家用电器和日用百货两大类型，其中百货类商品销售额占比将达到64.5%，存储</w:t>
      </w:r>
      <w:r>
        <w:rPr>
          <w:rFonts w:hint="eastAsia"/>
          <w:sz w:val="24"/>
        </w:rPr>
        <w:t>商品</w:t>
      </w:r>
      <w:r>
        <w:rPr>
          <w:sz w:val="24"/>
        </w:rPr>
        <w:t>涉及服装鞋帽、婴儿用品、</w:t>
      </w:r>
      <w:r>
        <w:rPr>
          <w:rFonts w:hint="eastAsia"/>
          <w:sz w:val="24"/>
        </w:rPr>
        <w:t>包装食品</w:t>
      </w:r>
      <w:r>
        <w:rPr>
          <w:sz w:val="24"/>
        </w:rPr>
        <w:t>、化妆品、汽车用品、珠宝、书籍、乐器</w:t>
      </w:r>
      <w:r>
        <w:rPr>
          <w:rFonts w:hint="eastAsia"/>
          <w:sz w:val="24"/>
        </w:rPr>
        <w:t>、音像产品、健康美容、运动户外、厨具家具、母婴产品</w:t>
      </w:r>
      <w:r>
        <w:rPr>
          <w:sz w:val="24"/>
        </w:rPr>
        <w:t>等16个类别。</w:t>
      </w:r>
      <w:r>
        <w:rPr>
          <w:rFonts w:hint="eastAsia"/>
          <w:sz w:val="24"/>
        </w:rPr>
        <w:t>项目研发办公区，主要功能为物流配送研发办公用房，包括物流软件研发，网站维护、数据中心及资料库，无工业生产。根据现场勘查，项目仓储物流区仓库主体工程已基本建成，南京市雨花台区环境保护局对建设单位已进行了处罚，要求停止项目建设，并尽快落实环评审批手续。</w:t>
      </w:r>
    </w:p>
    <w:p>
      <w:pPr>
        <w:widowControl/>
        <w:spacing w:line="360" w:lineRule="auto"/>
        <w:ind w:firstLine="480" w:firstLineChars="200"/>
        <w:rPr>
          <w:sz w:val="24"/>
        </w:rPr>
      </w:pPr>
      <w:r>
        <w:rPr>
          <w:sz w:val="24"/>
        </w:rPr>
        <w:t>根据《中华人民共和国环境保护法》（2014年）、《中华人民共和国环境影响评价法》（2002年）和《建设项目环境保护管理条例》（国务院第253号令）等法律法规的有关规定，受</w:t>
      </w:r>
      <w:r>
        <w:rPr>
          <w:color w:val="000000"/>
          <w:sz w:val="24"/>
        </w:rPr>
        <w:t>南京鼎邦网络科技有限公司</w:t>
      </w:r>
      <w:r>
        <w:rPr>
          <w:sz w:val="24"/>
        </w:rPr>
        <w:t>的委托，南京赛特环境工程有限公司承担该建设项目的环境影响评价工作。</w:t>
      </w:r>
      <w:r>
        <w:rPr>
          <w:snapToGrid w:val="0"/>
          <w:color w:val="000000"/>
          <w:sz w:val="24"/>
        </w:rPr>
        <w:t>我单位接受委托后，在现场踏勘、资料收集和初步调查研究的基础上编写了本项目环境影响报告表</w:t>
      </w:r>
      <w:bookmarkEnd w:id="27"/>
      <w:bookmarkEnd w:id="28"/>
      <w:r>
        <w:rPr>
          <w:sz w:val="24"/>
        </w:rPr>
        <w:t>及专项。报请环境保护主管部门审批，以此作为主管部门决策和项目建设单位环境保护“三同时”制度实施及管理的依据。</w:t>
      </w:r>
    </w:p>
    <w:p>
      <w:pPr>
        <w:pStyle w:val="3"/>
        <w:adjustRightInd w:val="0"/>
        <w:snapToGrid w:val="0"/>
        <w:spacing w:before="0" w:after="0" w:line="360" w:lineRule="auto"/>
        <w:rPr>
          <w:rFonts w:ascii="Times New Roman" w:hAnsi="Times New Roman" w:eastAsia="宋体"/>
          <w:b/>
          <w:bCs/>
          <w:sz w:val="28"/>
          <w:szCs w:val="28"/>
        </w:rPr>
      </w:pPr>
      <w:bookmarkStart w:id="29" w:name="_Toc478270491"/>
      <w:bookmarkStart w:id="30" w:name="_Toc150455515"/>
      <w:bookmarkStart w:id="31" w:name="_Toc157931245"/>
      <w:bookmarkStart w:id="32" w:name="_Toc183510513"/>
      <w:bookmarkStart w:id="33" w:name="_Toc203382492"/>
      <w:bookmarkStart w:id="34" w:name="_Toc228179853"/>
      <w:bookmarkStart w:id="35" w:name="_Toc239778233"/>
      <w:bookmarkStart w:id="36" w:name="_Toc435690379"/>
      <w:r>
        <w:rPr>
          <w:rFonts w:ascii="Times New Roman" w:hAnsi="Times New Roman" w:eastAsia="宋体"/>
          <w:b/>
          <w:bCs/>
          <w:sz w:val="28"/>
          <w:szCs w:val="28"/>
        </w:rPr>
        <w:t>1.2 编制依据</w:t>
      </w:r>
      <w:bookmarkEnd w:id="29"/>
      <w:bookmarkEnd w:id="30"/>
      <w:bookmarkEnd w:id="31"/>
      <w:bookmarkEnd w:id="32"/>
      <w:bookmarkEnd w:id="33"/>
      <w:bookmarkEnd w:id="34"/>
      <w:bookmarkEnd w:id="35"/>
      <w:bookmarkEnd w:id="36"/>
    </w:p>
    <w:p>
      <w:pPr>
        <w:pStyle w:val="4"/>
        <w:adjustRightInd w:val="0"/>
        <w:snapToGrid w:val="0"/>
        <w:spacing w:before="0" w:after="0" w:line="360" w:lineRule="auto"/>
        <w:rPr>
          <w:bCs w:val="0"/>
          <w:sz w:val="24"/>
          <w:szCs w:val="24"/>
        </w:rPr>
      </w:pPr>
      <w:bookmarkStart w:id="37" w:name="_Toc61594183"/>
      <w:bookmarkStart w:id="38" w:name="_Toc150455516"/>
      <w:bookmarkStart w:id="39" w:name="_Toc203382493"/>
      <w:bookmarkStart w:id="40" w:name="_Toc228179854"/>
      <w:bookmarkStart w:id="41" w:name="_Toc239778234"/>
      <w:bookmarkStart w:id="42" w:name="_Toc435690380"/>
      <w:r>
        <w:rPr>
          <w:bCs w:val="0"/>
          <w:sz w:val="24"/>
          <w:szCs w:val="24"/>
        </w:rPr>
        <w:t>1.2.1政策</w:t>
      </w:r>
      <w:r>
        <w:rPr>
          <w:bCs w:val="0"/>
          <w:color w:val="FF0000"/>
          <w:sz w:val="24"/>
          <w:szCs w:val="24"/>
        </w:rPr>
        <w:t>法规</w:t>
      </w:r>
      <w:bookmarkEnd w:id="37"/>
      <w:bookmarkEnd w:id="38"/>
      <w:bookmarkEnd w:id="39"/>
      <w:bookmarkEnd w:id="40"/>
      <w:bookmarkEnd w:id="41"/>
      <w:bookmarkEnd w:id="42"/>
    </w:p>
    <w:p>
      <w:pPr>
        <w:numPr>
          <w:ilvl w:val="1"/>
          <w:numId w:val="9"/>
        </w:numPr>
        <w:snapToGrid w:val="0"/>
        <w:spacing w:line="360" w:lineRule="auto"/>
        <w:ind w:left="0" w:firstLine="426"/>
        <w:rPr>
          <w:sz w:val="24"/>
        </w:rPr>
      </w:pPr>
      <w:bookmarkStart w:id="43" w:name="_Toc203382494"/>
      <w:bookmarkStart w:id="44" w:name="_Toc228179855"/>
      <w:bookmarkStart w:id="45" w:name="_Toc239778235"/>
      <w:r>
        <w:rPr>
          <w:sz w:val="24"/>
        </w:rPr>
        <w:t>《中华人民共和国环境保护法》，2014.4.24修订；</w:t>
      </w:r>
    </w:p>
    <w:p>
      <w:pPr>
        <w:numPr>
          <w:ilvl w:val="1"/>
          <w:numId w:val="9"/>
        </w:numPr>
        <w:snapToGrid w:val="0"/>
        <w:spacing w:line="360" w:lineRule="auto"/>
        <w:ind w:left="0" w:firstLine="426"/>
        <w:rPr>
          <w:sz w:val="24"/>
        </w:rPr>
      </w:pPr>
      <w:r>
        <w:rPr>
          <w:sz w:val="24"/>
        </w:rPr>
        <w:t>《中华人民共和国大气污染防治法》，2000.4.29修订；</w:t>
      </w:r>
    </w:p>
    <w:p>
      <w:pPr>
        <w:numPr>
          <w:ilvl w:val="1"/>
          <w:numId w:val="9"/>
        </w:numPr>
        <w:snapToGrid w:val="0"/>
        <w:spacing w:line="360" w:lineRule="auto"/>
        <w:ind w:left="0" w:firstLine="426"/>
        <w:rPr>
          <w:sz w:val="24"/>
        </w:rPr>
      </w:pPr>
      <w:r>
        <w:rPr>
          <w:sz w:val="24"/>
        </w:rPr>
        <w:t>《中华人民共和国水污染防治法》，2008.2.28修订；</w:t>
      </w:r>
    </w:p>
    <w:p>
      <w:pPr>
        <w:numPr>
          <w:ilvl w:val="1"/>
          <w:numId w:val="9"/>
        </w:numPr>
        <w:snapToGrid w:val="0"/>
        <w:spacing w:line="360" w:lineRule="auto"/>
        <w:ind w:left="0" w:firstLine="426"/>
        <w:rPr>
          <w:sz w:val="24"/>
        </w:rPr>
      </w:pPr>
      <w:r>
        <w:rPr>
          <w:sz w:val="24"/>
        </w:rPr>
        <w:t>《中华人民共和国环境噪声污染防治法》，1997年3月1日；</w:t>
      </w:r>
    </w:p>
    <w:p>
      <w:pPr>
        <w:numPr>
          <w:ilvl w:val="1"/>
          <w:numId w:val="9"/>
        </w:numPr>
        <w:snapToGrid w:val="0"/>
        <w:spacing w:line="360" w:lineRule="auto"/>
        <w:ind w:left="0" w:firstLine="426"/>
        <w:rPr>
          <w:sz w:val="24"/>
        </w:rPr>
      </w:pPr>
      <w:r>
        <w:rPr>
          <w:sz w:val="24"/>
        </w:rPr>
        <w:t>《中华人民共和国固体废物污染环境防治法》，2005年4月1日；</w:t>
      </w:r>
    </w:p>
    <w:p>
      <w:pPr>
        <w:numPr>
          <w:ilvl w:val="1"/>
          <w:numId w:val="9"/>
        </w:numPr>
        <w:snapToGrid w:val="0"/>
        <w:spacing w:line="360" w:lineRule="auto"/>
        <w:ind w:left="0" w:firstLine="426"/>
        <w:rPr>
          <w:sz w:val="24"/>
        </w:rPr>
      </w:pPr>
      <w:r>
        <w:rPr>
          <w:sz w:val="24"/>
        </w:rPr>
        <w:t>《中华人民共和国环境影响评价法》，2003年9月1日；</w:t>
      </w:r>
    </w:p>
    <w:p>
      <w:pPr>
        <w:numPr>
          <w:ilvl w:val="1"/>
          <w:numId w:val="9"/>
        </w:numPr>
        <w:snapToGrid w:val="0"/>
        <w:spacing w:line="360" w:lineRule="auto"/>
        <w:ind w:left="0" w:firstLine="426"/>
        <w:rPr>
          <w:sz w:val="24"/>
        </w:rPr>
      </w:pPr>
      <w:r>
        <w:rPr>
          <w:sz w:val="24"/>
        </w:rPr>
        <w:t>《中华人民共和国清洁生产促进法》，2012.2.29修订；</w:t>
      </w:r>
    </w:p>
    <w:p>
      <w:pPr>
        <w:numPr>
          <w:ilvl w:val="1"/>
          <w:numId w:val="9"/>
        </w:numPr>
        <w:snapToGrid w:val="0"/>
        <w:spacing w:line="360" w:lineRule="auto"/>
        <w:ind w:left="0" w:firstLine="426"/>
        <w:rPr>
          <w:sz w:val="24"/>
        </w:rPr>
      </w:pPr>
      <w:r>
        <w:rPr>
          <w:sz w:val="24"/>
        </w:rPr>
        <w:t>《建设项目环境保护管理条例》，国务院令第253号，1998年11月；</w:t>
      </w:r>
    </w:p>
    <w:p>
      <w:pPr>
        <w:numPr>
          <w:ilvl w:val="1"/>
          <w:numId w:val="9"/>
        </w:numPr>
        <w:snapToGrid w:val="0"/>
        <w:spacing w:line="360" w:lineRule="auto"/>
        <w:ind w:left="0" w:firstLine="426"/>
        <w:rPr>
          <w:sz w:val="24"/>
        </w:rPr>
      </w:pPr>
      <w:r>
        <w:rPr>
          <w:sz w:val="24"/>
        </w:rPr>
        <w:t>《关于印发&lt;建设项目环境影响评价政府信息公开指南&gt;的通知》，环办（2013）103号；</w:t>
      </w:r>
    </w:p>
    <w:p>
      <w:pPr>
        <w:numPr>
          <w:ilvl w:val="1"/>
          <w:numId w:val="9"/>
        </w:numPr>
        <w:snapToGrid w:val="0"/>
        <w:spacing w:line="360" w:lineRule="auto"/>
        <w:ind w:left="0" w:firstLine="426"/>
        <w:rPr>
          <w:sz w:val="24"/>
        </w:rPr>
      </w:pPr>
      <w:r>
        <w:rPr>
          <w:sz w:val="24"/>
        </w:rPr>
        <w:t>《产业结构调整指导目录（2011年本）（修正）》，2013年；</w:t>
      </w:r>
    </w:p>
    <w:p>
      <w:pPr>
        <w:numPr>
          <w:ilvl w:val="1"/>
          <w:numId w:val="9"/>
        </w:numPr>
        <w:snapToGrid w:val="0"/>
        <w:spacing w:line="360" w:lineRule="auto"/>
        <w:ind w:left="0" w:firstLine="426"/>
        <w:rPr>
          <w:sz w:val="24"/>
        </w:rPr>
      </w:pPr>
      <w:r>
        <w:rPr>
          <w:sz w:val="24"/>
        </w:rPr>
        <w:t>关于印发《江苏省排污口设置规范化整治管理办法》的通知，苏环控〔97〕122号；</w:t>
      </w:r>
    </w:p>
    <w:p>
      <w:pPr>
        <w:numPr>
          <w:ilvl w:val="1"/>
          <w:numId w:val="9"/>
        </w:numPr>
        <w:snapToGrid w:val="0"/>
        <w:spacing w:line="360" w:lineRule="auto"/>
        <w:ind w:left="0" w:firstLine="426"/>
        <w:rPr>
          <w:sz w:val="24"/>
        </w:rPr>
      </w:pPr>
      <w:r>
        <w:rPr>
          <w:sz w:val="24"/>
        </w:rPr>
        <w:t>《关于印发江苏省建设项目主要污染物排放总量区域平衡方案审核管理办法的通知》（苏环办[20]71号），2011年3月17日；</w:t>
      </w:r>
    </w:p>
    <w:p>
      <w:pPr>
        <w:numPr>
          <w:ilvl w:val="1"/>
          <w:numId w:val="9"/>
        </w:numPr>
        <w:snapToGrid w:val="0"/>
        <w:spacing w:line="360" w:lineRule="auto"/>
        <w:ind w:left="0" w:firstLine="426"/>
        <w:rPr>
          <w:sz w:val="24"/>
        </w:rPr>
      </w:pPr>
      <w:r>
        <w:rPr>
          <w:sz w:val="24"/>
        </w:rPr>
        <w:t>《省政府关于印发江苏省节能减排工作实施意见的通知》，苏政发〔2007〕63号文；</w:t>
      </w:r>
    </w:p>
    <w:p>
      <w:pPr>
        <w:numPr>
          <w:ilvl w:val="1"/>
          <w:numId w:val="9"/>
        </w:numPr>
        <w:snapToGrid w:val="0"/>
        <w:spacing w:line="360" w:lineRule="auto"/>
        <w:ind w:left="0" w:firstLine="426"/>
        <w:rPr>
          <w:sz w:val="24"/>
        </w:rPr>
      </w:pPr>
      <w:r>
        <w:rPr>
          <w:sz w:val="24"/>
        </w:rPr>
        <w:t>《江苏省地表水（环境）功能区划》，江苏省水利厅、江苏省环保厅，2003年3月；</w:t>
      </w:r>
    </w:p>
    <w:p>
      <w:pPr>
        <w:numPr>
          <w:ilvl w:val="1"/>
          <w:numId w:val="9"/>
        </w:numPr>
        <w:snapToGrid w:val="0"/>
        <w:spacing w:line="360" w:lineRule="auto"/>
        <w:ind w:left="0" w:firstLine="426"/>
        <w:rPr>
          <w:sz w:val="24"/>
        </w:rPr>
      </w:pPr>
      <w:r>
        <w:rPr>
          <w:sz w:val="24"/>
        </w:rPr>
        <w:t xml:space="preserve">《关于切实做好建设项目环境管理工作的通知》，苏环管〔2006〕98号文； </w:t>
      </w:r>
    </w:p>
    <w:p>
      <w:pPr>
        <w:numPr>
          <w:ilvl w:val="1"/>
          <w:numId w:val="9"/>
        </w:numPr>
        <w:snapToGrid w:val="0"/>
        <w:spacing w:line="360" w:lineRule="auto"/>
        <w:ind w:left="0" w:firstLine="426"/>
        <w:rPr>
          <w:sz w:val="24"/>
        </w:rPr>
      </w:pPr>
      <w:r>
        <w:rPr>
          <w:sz w:val="24"/>
        </w:rPr>
        <w:t>《江苏省环境保护条例》，1997年8月16日起施行；</w:t>
      </w:r>
    </w:p>
    <w:p>
      <w:pPr>
        <w:numPr>
          <w:ilvl w:val="1"/>
          <w:numId w:val="9"/>
        </w:numPr>
        <w:snapToGrid w:val="0"/>
        <w:spacing w:line="360" w:lineRule="auto"/>
        <w:ind w:left="0" w:firstLine="426"/>
        <w:rPr>
          <w:sz w:val="24"/>
        </w:rPr>
      </w:pPr>
      <w:r>
        <w:rPr>
          <w:sz w:val="24"/>
        </w:rPr>
        <w:t>《江苏省工业和信息产业结构调整指导目录（2012年本）》（苏政办发[2013]9号），2013年1月29日；</w:t>
      </w:r>
    </w:p>
    <w:p>
      <w:pPr>
        <w:numPr>
          <w:ilvl w:val="1"/>
          <w:numId w:val="9"/>
        </w:numPr>
        <w:snapToGrid w:val="0"/>
        <w:spacing w:line="360" w:lineRule="auto"/>
        <w:ind w:left="0" w:firstLine="426"/>
        <w:rPr>
          <w:sz w:val="24"/>
        </w:rPr>
      </w:pPr>
      <w:r>
        <w:rPr>
          <w:sz w:val="24"/>
        </w:rPr>
        <w:t>关于修改《江苏省工业和信息产业结构调整指导目录（2012年本）》部分条目的通知（苏经信产业[2013]183号）；</w:t>
      </w:r>
    </w:p>
    <w:p>
      <w:pPr>
        <w:numPr>
          <w:ilvl w:val="1"/>
          <w:numId w:val="9"/>
        </w:numPr>
        <w:snapToGrid w:val="0"/>
        <w:spacing w:line="360" w:lineRule="auto"/>
        <w:ind w:left="0" w:firstLine="426"/>
        <w:rPr>
          <w:sz w:val="24"/>
        </w:rPr>
      </w:pPr>
      <w:r>
        <w:rPr>
          <w:sz w:val="24"/>
        </w:rPr>
        <w:t>关于发布实施《限制用地项目目录（2012年本）》和《禁止用地项目目录（2012年本）》的通知，国土资发[2012]98号；</w:t>
      </w:r>
    </w:p>
    <w:p>
      <w:pPr>
        <w:numPr>
          <w:ilvl w:val="1"/>
          <w:numId w:val="9"/>
        </w:numPr>
        <w:snapToGrid w:val="0"/>
        <w:spacing w:line="360" w:lineRule="auto"/>
        <w:ind w:left="0" w:firstLine="426"/>
        <w:rPr>
          <w:sz w:val="24"/>
        </w:rPr>
      </w:pPr>
      <w:r>
        <w:rPr>
          <w:sz w:val="24"/>
        </w:rPr>
        <w:t>《江苏省环境噪声污染防治条例》，2006年3月1日起施行；</w:t>
      </w:r>
    </w:p>
    <w:p>
      <w:pPr>
        <w:numPr>
          <w:ilvl w:val="1"/>
          <w:numId w:val="9"/>
        </w:numPr>
        <w:snapToGrid w:val="0"/>
        <w:spacing w:line="360" w:lineRule="auto"/>
        <w:ind w:left="0" w:firstLine="426"/>
        <w:rPr>
          <w:sz w:val="24"/>
        </w:rPr>
      </w:pPr>
      <w:r>
        <w:rPr>
          <w:sz w:val="24"/>
        </w:rPr>
        <w:t>《环境影响公众参与暂行办法》，国家环保总局2006年2月14日，环发〔2006〕28号；</w:t>
      </w:r>
    </w:p>
    <w:p>
      <w:pPr>
        <w:numPr>
          <w:ilvl w:val="1"/>
          <w:numId w:val="9"/>
        </w:numPr>
        <w:snapToGrid w:val="0"/>
        <w:spacing w:line="360" w:lineRule="auto"/>
        <w:ind w:left="0" w:firstLine="426"/>
        <w:rPr>
          <w:sz w:val="24"/>
        </w:rPr>
      </w:pPr>
      <w:r>
        <w:rPr>
          <w:sz w:val="24"/>
        </w:rPr>
        <w:t>《关于切实加强建设项目环境保护公众参与的意见》（苏环规〔2012〕4号），2012年10月；</w:t>
      </w:r>
    </w:p>
    <w:p>
      <w:pPr>
        <w:numPr>
          <w:ilvl w:val="1"/>
          <w:numId w:val="9"/>
        </w:numPr>
        <w:snapToGrid w:val="0"/>
        <w:spacing w:line="360" w:lineRule="auto"/>
        <w:ind w:left="0" w:firstLine="426"/>
        <w:rPr>
          <w:sz w:val="24"/>
        </w:rPr>
      </w:pPr>
      <w:r>
        <w:rPr>
          <w:sz w:val="24"/>
        </w:rPr>
        <w:t>《关于加强建设项目环评文件固废内容编制的通知》，苏环办[2013]283号；</w:t>
      </w:r>
    </w:p>
    <w:p>
      <w:pPr>
        <w:numPr>
          <w:ilvl w:val="1"/>
          <w:numId w:val="9"/>
        </w:numPr>
        <w:snapToGrid w:val="0"/>
        <w:spacing w:line="360" w:lineRule="auto"/>
        <w:ind w:left="0" w:firstLine="426"/>
        <w:rPr>
          <w:sz w:val="24"/>
        </w:rPr>
      </w:pPr>
      <w:r>
        <w:rPr>
          <w:sz w:val="24"/>
        </w:rPr>
        <w:t>《江苏省生态红线区域保护规划》，江苏省人民政府2013年7月；</w:t>
      </w:r>
    </w:p>
    <w:p>
      <w:pPr>
        <w:numPr>
          <w:ilvl w:val="1"/>
          <w:numId w:val="9"/>
        </w:numPr>
        <w:snapToGrid w:val="0"/>
        <w:spacing w:line="360" w:lineRule="auto"/>
        <w:ind w:left="0" w:firstLine="426"/>
        <w:rPr>
          <w:rFonts w:hint="eastAsia"/>
          <w:sz w:val="24"/>
        </w:rPr>
      </w:pPr>
      <w:r>
        <w:rPr>
          <w:sz w:val="24"/>
        </w:rPr>
        <w:t>《江苏省大气颗粒物污染防治管理办法》，江苏省人民政府令第91号，2013年8月1日；</w:t>
      </w:r>
    </w:p>
    <w:p>
      <w:pPr>
        <w:numPr>
          <w:ilvl w:val="1"/>
          <w:numId w:val="9"/>
        </w:numPr>
        <w:snapToGrid w:val="0"/>
        <w:spacing w:line="360" w:lineRule="auto"/>
        <w:ind w:left="0" w:firstLine="426"/>
        <w:rPr>
          <w:rFonts w:hint="eastAsia"/>
          <w:sz w:val="24"/>
        </w:rPr>
      </w:pPr>
      <w:r>
        <w:rPr>
          <w:sz w:val="24"/>
        </w:rPr>
        <w:t>《省政府关于印发江苏省太湖水污染治理工作方案的通知》（苏政发[2007]97号）；</w:t>
      </w:r>
    </w:p>
    <w:p>
      <w:pPr>
        <w:numPr>
          <w:ilvl w:val="1"/>
          <w:numId w:val="9"/>
        </w:numPr>
        <w:snapToGrid w:val="0"/>
        <w:spacing w:line="360" w:lineRule="auto"/>
        <w:ind w:left="0" w:firstLine="426"/>
        <w:rPr>
          <w:rFonts w:hint="eastAsia"/>
          <w:sz w:val="24"/>
        </w:rPr>
      </w:pPr>
      <w:r>
        <w:rPr>
          <w:sz w:val="24"/>
        </w:rPr>
        <w:t>《省政府关于太湖地区城镇污水处理厂及重点工业行业主要水污染物排放限值的批复》（苏政复[2007]49号）；</w:t>
      </w:r>
    </w:p>
    <w:p>
      <w:pPr>
        <w:numPr>
          <w:ilvl w:val="1"/>
          <w:numId w:val="9"/>
        </w:numPr>
        <w:snapToGrid w:val="0"/>
        <w:spacing w:line="360" w:lineRule="auto"/>
        <w:ind w:left="0" w:firstLine="426"/>
        <w:rPr>
          <w:rFonts w:hint="eastAsia"/>
          <w:sz w:val="24"/>
        </w:rPr>
      </w:pPr>
      <w:r>
        <w:rPr>
          <w:sz w:val="24"/>
        </w:rPr>
        <w:t>《省政府办公厅关于公布江苏省太湖流域三级保护区范围的通知》（苏政办发[2012]221号）；</w:t>
      </w:r>
    </w:p>
    <w:p>
      <w:pPr>
        <w:numPr>
          <w:ilvl w:val="1"/>
          <w:numId w:val="9"/>
        </w:numPr>
        <w:snapToGrid w:val="0"/>
        <w:spacing w:line="360" w:lineRule="auto"/>
        <w:ind w:left="0" w:firstLine="426"/>
        <w:rPr>
          <w:sz w:val="24"/>
        </w:rPr>
      </w:pPr>
      <w:r>
        <w:rPr>
          <w:sz w:val="24"/>
        </w:rPr>
        <w:t>《太湖流域管理条例》（2011年11月1日起实施）；</w:t>
      </w:r>
    </w:p>
    <w:p>
      <w:pPr>
        <w:numPr>
          <w:ilvl w:val="1"/>
          <w:numId w:val="9"/>
        </w:numPr>
        <w:snapToGrid w:val="0"/>
        <w:spacing w:line="360" w:lineRule="auto"/>
        <w:ind w:left="0" w:firstLine="426"/>
        <w:rPr>
          <w:rFonts w:hint="eastAsia"/>
          <w:sz w:val="24"/>
        </w:rPr>
      </w:pPr>
      <w:r>
        <w:rPr>
          <w:sz w:val="24"/>
        </w:rPr>
        <w:t>《江苏省人民代表大会常务委员会关于修改〈江苏省太湖水污染防治条例〉的决定》江苏省人大常委会公告（第113号）；</w:t>
      </w:r>
    </w:p>
    <w:p>
      <w:pPr>
        <w:numPr>
          <w:ilvl w:val="1"/>
          <w:numId w:val="9"/>
        </w:numPr>
        <w:snapToGrid w:val="0"/>
        <w:spacing w:line="360" w:lineRule="auto"/>
        <w:ind w:left="0" w:firstLine="426"/>
        <w:rPr>
          <w:sz w:val="24"/>
        </w:rPr>
      </w:pPr>
      <w:r>
        <w:rPr>
          <w:rFonts w:hint="eastAsia"/>
          <w:sz w:val="24"/>
        </w:rPr>
        <w:t>《省政府关于同意南京市江宁区等纳入省太湖流域综合治理范围的批复》（苏政复【2012】108号）；</w:t>
      </w:r>
    </w:p>
    <w:p>
      <w:pPr>
        <w:numPr>
          <w:ilvl w:val="1"/>
          <w:numId w:val="9"/>
        </w:numPr>
        <w:snapToGrid w:val="0"/>
        <w:spacing w:line="360" w:lineRule="auto"/>
        <w:ind w:left="0" w:firstLine="420"/>
        <w:rPr>
          <w:sz w:val="24"/>
        </w:rPr>
      </w:pPr>
      <w:r>
        <w:rPr>
          <w:sz w:val="24"/>
        </w:rPr>
        <w:t>《市政府关于印发南京市生态红线区域保护规划的通知》，宁政发〔2014〕74号；</w:t>
      </w:r>
    </w:p>
    <w:p>
      <w:pPr>
        <w:numPr>
          <w:ilvl w:val="1"/>
          <w:numId w:val="9"/>
        </w:numPr>
        <w:snapToGrid w:val="0"/>
        <w:spacing w:line="360" w:lineRule="auto"/>
        <w:ind w:left="0" w:firstLine="420"/>
        <w:rPr>
          <w:sz w:val="24"/>
        </w:rPr>
      </w:pPr>
      <w:r>
        <w:rPr>
          <w:sz w:val="24"/>
        </w:rPr>
        <w:t>《关于实施&lt;建设项目环境影响评价政府信息公开指南（试行）&gt;有关要求的通知》，宁环办〔2014〕18号；</w:t>
      </w:r>
    </w:p>
    <w:p>
      <w:pPr>
        <w:numPr>
          <w:ilvl w:val="1"/>
          <w:numId w:val="9"/>
        </w:numPr>
        <w:snapToGrid w:val="0"/>
        <w:spacing w:line="360" w:lineRule="auto"/>
        <w:ind w:left="0" w:firstLine="420"/>
        <w:rPr>
          <w:sz w:val="24"/>
        </w:rPr>
      </w:pPr>
      <w:r>
        <w:rPr>
          <w:sz w:val="24"/>
        </w:rPr>
        <w:t>《南京市扬尘污染防治管理办法》，江苏省南京市人民政府政府令（2012）287号；</w:t>
      </w:r>
    </w:p>
    <w:p>
      <w:pPr>
        <w:numPr>
          <w:ilvl w:val="1"/>
          <w:numId w:val="9"/>
        </w:numPr>
        <w:snapToGrid w:val="0"/>
        <w:spacing w:line="360" w:lineRule="auto"/>
        <w:ind w:left="0" w:firstLine="420"/>
        <w:rPr>
          <w:rFonts w:hint="eastAsia"/>
          <w:sz w:val="24"/>
        </w:rPr>
      </w:pPr>
      <w:r>
        <w:rPr>
          <w:sz w:val="24"/>
        </w:rPr>
        <w:t>《2013年南京市环境噪声标准适用区域划分调整方案及编制说明》；</w:t>
      </w:r>
    </w:p>
    <w:p>
      <w:pPr>
        <w:numPr>
          <w:ilvl w:val="1"/>
          <w:numId w:val="9"/>
        </w:numPr>
        <w:snapToGrid w:val="0"/>
        <w:spacing w:line="360" w:lineRule="auto"/>
        <w:ind w:left="0" w:firstLine="420"/>
        <w:rPr>
          <w:sz w:val="24"/>
        </w:rPr>
      </w:pPr>
      <w:r>
        <w:rPr>
          <w:sz w:val="24"/>
        </w:rPr>
        <w:t>《南京市水环境保护条例》，南京市十四届人大常委会第27次会议，2011年12月28日。</w:t>
      </w:r>
    </w:p>
    <w:p>
      <w:pPr>
        <w:pStyle w:val="4"/>
        <w:adjustRightInd w:val="0"/>
        <w:snapToGrid w:val="0"/>
        <w:spacing w:before="0" w:after="0" w:line="360" w:lineRule="auto"/>
        <w:rPr>
          <w:bCs w:val="0"/>
          <w:sz w:val="24"/>
          <w:szCs w:val="24"/>
        </w:rPr>
      </w:pPr>
      <w:bookmarkStart w:id="46" w:name="_Toc435690381"/>
      <w:r>
        <w:rPr>
          <w:bCs w:val="0"/>
          <w:sz w:val="24"/>
          <w:szCs w:val="24"/>
        </w:rPr>
        <w:t>1.2.2 评价技术导则</w:t>
      </w:r>
      <w:bookmarkEnd w:id="43"/>
      <w:bookmarkEnd w:id="44"/>
      <w:bookmarkEnd w:id="45"/>
      <w:bookmarkEnd w:id="46"/>
    </w:p>
    <w:p>
      <w:pPr>
        <w:snapToGrid w:val="0"/>
        <w:spacing w:line="360" w:lineRule="auto"/>
        <w:ind w:firstLine="480" w:firstLineChars="200"/>
        <w:rPr>
          <w:sz w:val="24"/>
        </w:rPr>
      </w:pPr>
      <w:r>
        <w:rPr>
          <w:sz w:val="24"/>
        </w:rPr>
        <w:t>（1）《环境影响评价技术导则  总纲》（HJ 2.1-2011）；</w:t>
      </w:r>
    </w:p>
    <w:p>
      <w:pPr>
        <w:snapToGrid w:val="0"/>
        <w:spacing w:line="360" w:lineRule="auto"/>
        <w:ind w:firstLine="480" w:firstLineChars="200"/>
        <w:rPr>
          <w:sz w:val="24"/>
        </w:rPr>
      </w:pPr>
      <w:r>
        <w:rPr>
          <w:sz w:val="24"/>
        </w:rPr>
        <w:t>（2）《环境影响评价技术导则  大气环境》（HJ 2.2-2008）；</w:t>
      </w:r>
    </w:p>
    <w:p>
      <w:pPr>
        <w:snapToGrid w:val="0"/>
        <w:spacing w:line="360" w:lineRule="auto"/>
        <w:ind w:firstLine="480" w:firstLineChars="200"/>
        <w:rPr>
          <w:sz w:val="24"/>
        </w:rPr>
      </w:pPr>
      <w:r>
        <w:rPr>
          <w:sz w:val="24"/>
        </w:rPr>
        <w:t>（3）《环境影响评价技术导则  地面水环境》（HJ/T 2.3-93）；</w:t>
      </w:r>
    </w:p>
    <w:p>
      <w:pPr>
        <w:snapToGrid w:val="0"/>
        <w:spacing w:line="360" w:lineRule="auto"/>
        <w:ind w:firstLine="480" w:firstLineChars="200"/>
        <w:rPr>
          <w:sz w:val="24"/>
        </w:rPr>
      </w:pPr>
      <w:r>
        <w:rPr>
          <w:sz w:val="24"/>
        </w:rPr>
        <w:t>（4）《环境影响评价技术导则  声环境》（HJ 2.4-2009）；</w:t>
      </w:r>
    </w:p>
    <w:p>
      <w:pPr>
        <w:snapToGrid w:val="0"/>
        <w:spacing w:line="360" w:lineRule="auto"/>
        <w:ind w:firstLine="480" w:firstLineChars="200"/>
        <w:rPr>
          <w:sz w:val="24"/>
        </w:rPr>
      </w:pPr>
      <w:r>
        <w:rPr>
          <w:sz w:val="24"/>
        </w:rPr>
        <w:t>（5）《环境影响评价技术导则  生态影响》（HJ 19-2011）；</w:t>
      </w:r>
    </w:p>
    <w:p>
      <w:pPr>
        <w:snapToGrid w:val="0"/>
        <w:spacing w:line="360" w:lineRule="auto"/>
        <w:ind w:firstLine="480" w:firstLineChars="200"/>
        <w:rPr>
          <w:sz w:val="24"/>
        </w:rPr>
      </w:pPr>
      <w:r>
        <w:rPr>
          <w:sz w:val="24"/>
        </w:rPr>
        <w:t>（6）《环境影响评价技术导则  地下水环境》（HJ 610-2011）；</w:t>
      </w:r>
    </w:p>
    <w:p>
      <w:pPr>
        <w:snapToGrid w:val="0"/>
        <w:spacing w:line="360" w:lineRule="auto"/>
        <w:ind w:firstLine="480" w:firstLineChars="200"/>
        <w:rPr>
          <w:sz w:val="24"/>
        </w:rPr>
      </w:pPr>
      <w:r>
        <w:rPr>
          <w:sz w:val="24"/>
        </w:rPr>
        <w:t>（7）《防治城市扬尘污染技术规范》（HJ/T 393-2007）；</w:t>
      </w:r>
    </w:p>
    <w:p>
      <w:pPr>
        <w:snapToGrid w:val="0"/>
        <w:spacing w:line="360" w:lineRule="auto"/>
        <w:ind w:firstLine="480" w:firstLineChars="200"/>
        <w:rPr>
          <w:sz w:val="24"/>
        </w:rPr>
      </w:pPr>
      <w:r>
        <w:rPr>
          <w:sz w:val="24"/>
        </w:rPr>
        <w:t>（8）《建筑给水排水设计规范》（GB 50015-2003）；</w:t>
      </w:r>
    </w:p>
    <w:p>
      <w:pPr>
        <w:snapToGrid w:val="0"/>
        <w:spacing w:line="360" w:lineRule="auto"/>
        <w:ind w:firstLine="480" w:firstLineChars="200"/>
        <w:rPr>
          <w:sz w:val="24"/>
        </w:rPr>
      </w:pPr>
      <w:r>
        <w:rPr>
          <w:sz w:val="24"/>
        </w:rPr>
        <w:t>（10）《江苏省工业建设项目环境影响报告书主要内容编制要求》，2005.5。</w:t>
      </w:r>
    </w:p>
    <w:p>
      <w:pPr>
        <w:pStyle w:val="4"/>
        <w:adjustRightInd w:val="0"/>
        <w:snapToGrid w:val="0"/>
        <w:spacing w:before="0" w:after="0" w:line="360" w:lineRule="auto"/>
        <w:rPr>
          <w:bCs w:val="0"/>
          <w:sz w:val="24"/>
          <w:szCs w:val="24"/>
        </w:rPr>
      </w:pPr>
      <w:bookmarkStart w:id="47" w:name="_Toc150455517"/>
      <w:bookmarkStart w:id="48" w:name="_Toc203382495"/>
      <w:bookmarkStart w:id="49" w:name="_Toc228179856"/>
      <w:bookmarkStart w:id="50" w:name="_Toc239778236"/>
      <w:bookmarkStart w:id="51" w:name="_Toc435690382"/>
      <w:r>
        <w:rPr>
          <w:bCs w:val="0"/>
          <w:sz w:val="24"/>
          <w:szCs w:val="24"/>
        </w:rPr>
        <w:t>1.2.3项目其它相关文件</w:t>
      </w:r>
      <w:bookmarkEnd w:id="47"/>
      <w:bookmarkEnd w:id="48"/>
      <w:bookmarkEnd w:id="49"/>
      <w:bookmarkEnd w:id="50"/>
      <w:bookmarkEnd w:id="51"/>
    </w:p>
    <w:p>
      <w:pPr>
        <w:adjustRightInd w:val="0"/>
        <w:snapToGrid w:val="0"/>
        <w:spacing w:line="360" w:lineRule="auto"/>
        <w:ind w:firstLine="480" w:firstLineChars="200"/>
        <w:rPr>
          <w:kern w:val="0"/>
          <w:sz w:val="24"/>
        </w:rPr>
      </w:pPr>
      <w:r>
        <w:rPr>
          <w:kern w:val="0"/>
          <w:sz w:val="24"/>
        </w:rPr>
        <w:t>（1）</w:t>
      </w:r>
      <w:r>
        <w:rPr>
          <w:sz w:val="24"/>
        </w:rPr>
        <w:t>项目可行性研究报告；</w:t>
      </w:r>
    </w:p>
    <w:p>
      <w:pPr>
        <w:adjustRightInd w:val="0"/>
        <w:snapToGrid w:val="0"/>
        <w:spacing w:line="360" w:lineRule="auto"/>
        <w:ind w:firstLine="480" w:firstLineChars="200"/>
        <w:rPr>
          <w:kern w:val="0"/>
          <w:sz w:val="24"/>
        </w:rPr>
      </w:pPr>
      <w:r>
        <w:rPr>
          <w:kern w:val="0"/>
          <w:sz w:val="24"/>
        </w:rPr>
        <w:t>（2）建设单位提供的其他有关资料。</w:t>
      </w:r>
    </w:p>
    <w:p>
      <w:pPr>
        <w:pStyle w:val="3"/>
        <w:adjustRightInd w:val="0"/>
        <w:snapToGrid w:val="0"/>
        <w:spacing w:before="0" w:after="0" w:line="360" w:lineRule="auto"/>
        <w:rPr>
          <w:rFonts w:ascii="Times New Roman" w:hAnsi="Times New Roman" w:eastAsia="宋体"/>
          <w:b/>
          <w:bCs/>
          <w:sz w:val="28"/>
          <w:szCs w:val="28"/>
        </w:rPr>
      </w:pPr>
      <w:bookmarkStart w:id="52" w:name="_Toc150455519"/>
      <w:bookmarkStart w:id="53" w:name="_Toc157931246"/>
      <w:bookmarkStart w:id="54" w:name="_Toc183510514"/>
      <w:bookmarkStart w:id="55" w:name="_Toc203382496"/>
      <w:bookmarkStart w:id="56" w:name="_Toc228179857"/>
      <w:bookmarkStart w:id="57" w:name="_Toc239778237"/>
      <w:bookmarkStart w:id="58" w:name="_Toc435690383"/>
      <w:r>
        <w:rPr>
          <w:rFonts w:ascii="Times New Roman" w:hAnsi="Times New Roman" w:eastAsia="宋体"/>
          <w:b/>
          <w:bCs/>
          <w:sz w:val="28"/>
          <w:szCs w:val="28"/>
        </w:rPr>
        <w:t>1.3 评价目的</w:t>
      </w:r>
      <w:bookmarkEnd w:id="52"/>
      <w:bookmarkEnd w:id="53"/>
      <w:bookmarkEnd w:id="54"/>
      <w:bookmarkEnd w:id="55"/>
      <w:bookmarkEnd w:id="56"/>
      <w:bookmarkEnd w:id="57"/>
      <w:bookmarkEnd w:id="58"/>
    </w:p>
    <w:p>
      <w:pPr>
        <w:spacing w:line="360" w:lineRule="auto"/>
        <w:ind w:firstLine="480" w:firstLineChars="200"/>
        <w:rPr>
          <w:sz w:val="24"/>
        </w:rPr>
      </w:pPr>
      <w:r>
        <w:rPr>
          <w:sz w:val="24"/>
        </w:rPr>
        <w:t>（1）通过现状调查和必要监测，了解建设项目所在地自然环境、社会环境特征和空气、噪声等主要环境要素的质量现状，分析外环境对周围环境的影响；</w:t>
      </w:r>
    </w:p>
    <w:p>
      <w:pPr>
        <w:spacing w:line="360" w:lineRule="auto"/>
        <w:ind w:firstLine="480" w:firstLineChars="200"/>
        <w:rPr>
          <w:sz w:val="24"/>
        </w:rPr>
      </w:pPr>
      <w:r>
        <w:rPr>
          <w:sz w:val="24"/>
        </w:rPr>
        <w:t>（2）从环保角度，明确工程的可行性，为工程设计和管理决策提供科学依据。</w:t>
      </w:r>
    </w:p>
    <w:p>
      <w:pPr>
        <w:pStyle w:val="3"/>
        <w:adjustRightInd w:val="0"/>
        <w:snapToGrid w:val="0"/>
        <w:spacing w:before="0" w:after="0" w:line="360" w:lineRule="auto"/>
        <w:rPr>
          <w:rFonts w:ascii="Times New Roman" w:hAnsi="Times New Roman" w:eastAsia="宋体"/>
          <w:b/>
          <w:bCs/>
          <w:sz w:val="28"/>
          <w:szCs w:val="28"/>
        </w:rPr>
      </w:pPr>
      <w:bookmarkStart w:id="59" w:name="_Toc435690384"/>
      <w:r>
        <w:rPr>
          <w:rFonts w:ascii="Times New Roman" w:hAnsi="Times New Roman" w:eastAsia="宋体"/>
          <w:b/>
          <w:bCs/>
          <w:sz w:val="28"/>
          <w:szCs w:val="28"/>
        </w:rPr>
        <w:t>1.4 保护目标</w:t>
      </w:r>
      <w:bookmarkEnd w:id="59"/>
    </w:p>
    <w:p>
      <w:pPr>
        <w:pStyle w:val="19"/>
        <w:adjustRightInd w:val="0"/>
        <w:snapToGrid w:val="0"/>
        <w:spacing w:line="360" w:lineRule="auto"/>
        <w:ind w:firstLine="480"/>
        <w:rPr>
          <w:sz w:val="24"/>
        </w:rPr>
      </w:pPr>
      <w:r>
        <w:rPr>
          <w:sz w:val="24"/>
        </w:rPr>
        <w:t>环境保护目标主要是本项目附近的居住区等，以及本项目可能影响的水体，具体见表1.4-1和附图</w:t>
      </w:r>
      <w:r>
        <w:rPr>
          <w:rFonts w:hint="eastAsia"/>
          <w:sz w:val="24"/>
        </w:rPr>
        <w:t>4</w:t>
      </w:r>
      <w:r>
        <w:rPr>
          <w:sz w:val="24"/>
        </w:rPr>
        <w:t>。</w:t>
      </w:r>
    </w:p>
    <w:p>
      <w:pPr>
        <w:spacing w:line="360" w:lineRule="auto"/>
        <w:jc w:val="center"/>
        <w:rPr>
          <w:rFonts w:hint="eastAsia"/>
          <w:sz w:val="24"/>
        </w:rPr>
      </w:pPr>
      <w:bookmarkStart w:id="60" w:name="_Toc174240597"/>
      <w:r>
        <w:rPr>
          <w:sz w:val="24"/>
        </w:rPr>
        <w:t>表1.4-1   建设项目周围主要环境保护目标</w:t>
      </w:r>
    </w:p>
    <w:tbl>
      <w:tblPr>
        <w:tblStyle w:val="59"/>
        <w:tblW w:w="85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8"/>
        <w:gridCol w:w="2691"/>
        <w:gridCol w:w="708"/>
        <w:gridCol w:w="850"/>
        <w:gridCol w:w="1418"/>
        <w:gridCol w:w="21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3" w:hRule="atLeast"/>
          <w:tblHeader/>
        </w:trPr>
        <w:tc>
          <w:tcPr>
            <w:tcW w:w="678" w:type="dxa"/>
            <w:shd w:val="clear" w:color="auto" w:fill="auto"/>
            <w:vAlign w:val="center"/>
          </w:tcPr>
          <w:p>
            <w:pPr>
              <w:jc w:val="center"/>
              <w:rPr>
                <w:szCs w:val="21"/>
              </w:rPr>
            </w:pPr>
            <w:r>
              <w:rPr>
                <w:szCs w:val="21"/>
              </w:rPr>
              <w:t>环境要素</w:t>
            </w:r>
          </w:p>
        </w:tc>
        <w:tc>
          <w:tcPr>
            <w:tcW w:w="2691" w:type="dxa"/>
            <w:shd w:val="clear" w:color="auto" w:fill="auto"/>
            <w:vAlign w:val="center"/>
          </w:tcPr>
          <w:p>
            <w:pPr>
              <w:jc w:val="center"/>
              <w:rPr>
                <w:szCs w:val="21"/>
              </w:rPr>
            </w:pPr>
            <w:r>
              <w:rPr>
                <w:szCs w:val="21"/>
              </w:rPr>
              <w:t>保护对象名称</w:t>
            </w:r>
          </w:p>
        </w:tc>
        <w:tc>
          <w:tcPr>
            <w:tcW w:w="708" w:type="dxa"/>
            <w:shd w:val="clear" w:color="auto" w:fill="auto"/>
            <w:vAlign w:val="center"/>
          </w:tcPr>
          <w:p>
            <w:pPr>
              <w:jc w:val="center"/>
              <w:rPr>
                <w:szCs w:val="21"/>
              </w:rPr>
            </w:pPr>
            <w:r>
              <w:rPr>
                <w:szCs w:val="21"/>
              </w:rPr>
              <w:t>方位</w:t>
            </w:r>
          </w:p>
        </w:tc>
        <w:tc>
          <w:tcPr>
            <w:tcW w:w="850" w:type="dxa"/>
            <w:shd w:val="clear" w:color="auto" w:fill="auto"/>
            <w:vAlign w:val="center"/>
          </w:tcPr>
          <w:p>
            <w:pPr>
              <w:jc w:val="center"/>
              <w:rPr>
                <w:szCs w:val="21"/>
              </w:rPr>
            </w:pPr>
            <w:r>
              <w:rPr>
                <w:szCs w:val="21"/>
              </w:rPr>
              <w:t>最近距离（m）</w:t>
            </w:r>
          </w:p>
        </w:tc>
        <w:tc>
          <w:tcPr>
            <w:tcW w:w="1418" w:type="dxa"/>
            <w:shd w:val="clear" w:color="auto" w:fill="auto"/>
            <w:vAlign w:val="center"/>
          </w:tcPr>
          <w:p>
            <w:pPr>
              <w:jc w:val="center"/>
              <w:rPr>
                <w:szCs w:val="21"/>
              </w:rPr>
            </w:pPr>
            <w:r>
              <w:rPr>
                <w:szCs w:val="21"/>
              </w:rPr>
              <w:t>规模（户/人）</w:t>
            </w:r>
          </w:p>
        </w:tc>
        <w:tc>
          <w:tcPr>
            <w:tcW w:w="2185" w:type="dxa"/>
            <w:shd w:val="clear" w:color="auto" w:fill="auto"/>
            <w:vAlign w:val="center"/>
          </w:tcPr>
          <w:p>
            <w:pPr>
              <w:jc w:val="center"/>
              <w:rPr>
                <w:szCs w:val="21"/>
              </w:rPr>
            </w:pPr>
            <w:r>
              <w:rPr>
                <w:szCs w:val="21"/>
              </w:rPr>
              <w:t>环境质量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restart"/>
            <w:shd w:val="clear" w:color="auto" w:fill="auto"/>
            <w:vAlign w:val="center"/>
          </w:tcPr>
          <w:p>
            <w:pPr>
              <w:jc w:val="center"/>
              <w:rPr>
                <w:szCs w:val="21"/>
              </w:rPr>
            </w:pPr>
            <w:r>
              <w:rPr>
                <w:szCs w:val="21"/>
              </w:rPr>
              <w:t>大气</w:t>
            </w:r>
          </w:p>
        </w:tc>
        <w:tc>
          <w:tcPr>
            <w:tcW w:w="2691" w:type="dxa"/>
            <w:shd w:val="clear" w:color="auto" w:fill="auto"/>
            <w:vAlign w:val="center"/>
          </w:tcPr>
          <w:p>
            <w:pPr>
              <w:jc w:val="center"/>
              <w:rPr>
                <w:szCs w:val="21"/>
              </w:rPr>
            </w:pPr>
            <w:r>
              <w:rPr>
                <w:rFonts w:hint="eastAsia"/>
                <w:sz w:val="18"/>
                <w:szCs w:val="21"/>
              </w:rPr>
              <w:t>爱普莱斯研发/生活配套用房</w:t>
            </w:r>
          </w:p>
        </w:tc>
        <w:tc>
          <w:tcPr>
            <w:tcW w:w="708" w:type="dxa"/>
            <w:shd w:val="clear" w:color="auto" w:fill="auto"/>
            <w:vAlign w:val="center"/>
          </w:tcPr>
          <w:p>
            <w:pPr>
              <w:jc w:val="center"/>
              <w:rPr>
                <w:szCs w:val="21"/>
              </w:rPr>
            </w:pPr>
            <w:r>
              <w:rPr>
                <w:rFonts w:hint="eastAsia"/>
                <w:szCs w:val="21"/>
              </w:rPr>
              <w:t>东南</w:t>
            </w:r>
          </w:p>
        </w:tc>
        <w:tc>
          <w:tcPr>
            <w:tcW w:w="850" w:type="dxa"/>
            <w:shd w:val="clear" w:color="auto" w:fill="auto"/>
            <w:vAlign w:val="center"/>
          </w:tcPr>
          <w:p>
            <w:pPr>
              <w:jc w:val="center"/>
              <w:rPr>
                <w:szCs w:val="21"/>
              </w:rPr>
            </w:pPr>
            <w:r>
              <w:rPr>
                <w:rFonts w:hint="eastAsia"/>
                <w:szCs w:val="21"/>
              </w:rPr>
              <w:t>17</w:t>
            </w:r>
          </w:p>
        </w:tc>
        <w:tc>
          <w:tcPr>
            <w:tcW w:w="1418" w:type="dxa"/>
            <w:shd w:val="clear" w:color="auto" w:fill="auto"/>
            <w:vAlign w:val="center"/>
          </w:tcPr>
          <w:p>
            <w:pPr>
              <w:jc w:val="center"/>
              <w:rPr>
                <w:szCs w:val="21"/>
              </w:rPr>
            </w:pPr>
            <w:r>
              <w:rPr>
                <w:rFonts w:hint="eastAsia"/>
                <w:szCs w:val="21"/>
              </w:rPr>
              <w:t>约1600人</w:t>
            </w:r>
          </w:p>
        </w:tc>
        <w:tc>
          <w:tcPr>
            <w:tcW w:w="2185" w:type="dxa"/>
            <w:vMerge w:val="restart"/>
            <w:shd w:val="clear" w:color="auto" w:fill="auto"/>
            <w:vAlign w:val="center"/>
          </w:tcPr>
          <w:p>
            <w:pPr>
              <w:jc w:val="center"/>
              <w:rPr>
                <w:szCs w:val="21"/>
              </w:rPr>
            </w:pPr>
            <w:r>
              <w:rPr>
                <w:szCs w:val="21"/>
              </w:rPr>
              <w:t>《环境空气质量标准》（GB 3095-2012）中的二级标准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正达公寓</w:t>
            </w:r>
          </w:p>
        </w:tc>
        <w:tc>
          <w:tcPr>
            <w:tcW w:w="708" w:type="dxa"/>
            <w:shd w:val="clear" w:color="auto" w:fill="auto"/>
            <w:vAlign w:val="center"/>
          </w:tcPr>
          <w:p>
            <w:pPr>
              <w:jc w:val="center"/>
              <w:rPr>
                <w:szCs w:val="21"/>
              </w:rPr>
            </w:pPr>
            <w:r>
              <w:rPr>
                <w:szCs w:val="21"/>
              </w:rPr>
              <w:t>东</w:t>
            </w:r>
          </w:p>
        </w:tc>
        <w:tc>
          <w:tcPr>
            <w:tcW w:w="850" w:type="dxa"/>
            <w:shd w:val="clear" w:color="auto" w:fill="auto"/>
            <w:vAlign w:val="center"/>
          </w:tcPr>
          <w:p>
            <w:pPr>
              <w:jc w:val="center"/>
              <w:rPr>
                <w:szCs w:val="21"/>
              </w:rPr>
            </w:pPr>
            <w:r>
              <w:rPr>
                <w:szCs w:val="21"/>
              </w:rPr>
              <w:t>48</w:t>
            </w:r>
          </w:p>
        </w:tc>
        <w:tc>
          <w:tcPr>
            <w:tcW w:w="1418" w:type="dxa"/>
            <w:shd w:val="clear" w:color="auto" w:fill="auto"/>
            <w:vAlign w:val="center"/>
          </w:tcPr>
          <w:p>
            <w:pPr>
              <w:jc w:val="center"/>
              <w:rPr>
                <w:szCs w:val="21"/>
              </w:rPr>
            </w:pPr>
            <w:r>
              <w:rPr>
                <w:szCs w:val="21"/>
              </w:rPr>
              <w:t>约90户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金叶花园</w:t>
            </w:r>
          </w:p>
        </w:tc>
        <w:tc>
          <w:tcPr>
            <w:tcW w:w="708" w:type="dxa"/>
            <w:shd w:val="clear" w:color="auto" w:fill="auto"/>
            <w:vAlign w:val="center"/>
          </w:tcPr>
          <w:p>
            <w:pPr>
              <w:jc w:val="center"/>
              <w:rPr>
                <w:szCs w:val="21"/>
              </w:rPr>
            </w:pPr>
            <w:r>
              <w:rPr>
                <w:szCs w:val="21"/>
              </w:rPr>
              <w:t>东</w:t>
            </w:r>
          </w:p>
        </w:tc>
        <w:tc>
          <w:tcPr>
            <w:tcW w:w="850" w:type="dxa"/>
            <w:shd w:val="clear" w:color="auto" w:fill="auto"/>
            <w:vAlign w:val="center"/>
          </w:tcPr>
          <w:p>
            <w:pPr>
              <w:jc w:val="center"/>
              <w:rPr>
                <w:szCs w:val="21"/>
              </w:rPr>
            </w:pPr>
            <w:r>
              <w:rPr>
                <w:szCs w:val="21"/>
              </w:rPr>
              <w:t>83</w:t>
            </w:r>
          </w:p>
        </w:tc>
        <w:tc>
          <w:tcPr>
            <w:tcW w:w="1418" w:type="dxa"/>
            <w:shd w:val="clear" w:color="auto" w:fill="auto"/>
            <w:vAlign w:val="center"/>
          </w:tcPr>
          <w:p>
            <w:pPr>
              <w:jc w:val="center"/>
              <w:rPr>
                <w:szCs w:val="21"/>
              </w:rPr>
            </w:pPr>
            <w:r>
              <w:rPr>
                <w:szCs w:val="21"/>
              </w:rPr>
              <w:t>约800户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rFonts w:hint="eastAsia"/>
                <w:szCs w:val="21"/>
              </w:rPr>
              <w:t>惠安新居</w:t>
            </w:r>
          </w:p>
        </w:tc>
        <w:tc>
          <w:tcPr>
            <w:tcW w:w="708" w:type="dxa"/>
            <w:shd w:val="clear" w:color="auto" w:fill="auto"/>
            <w:vAlign w:val="center"/>
          </w:tcPr>
          <w:p>
            <w:pPr>
              <w:jc w:val="center"/>
              <w:rPr>
                <w:szCs w:val="21"/>
              </w:rPr>
            </w:pPr>
            <w:r>
              <w:rPr>
                <w:rFonts w:hint="eastAsia"/>
                <w:szCs w:val="21"/>
              </w:rPr>
              <w:t>东南</w:t>
            </w:r>
          </w:p>
        </w:tc>
        <w:tc>
          <w:tcPr>
            <w:tcW w:w="850" w:type="dxa"/>
            <w:shd w:val="clear" w:color="auto" w:fill="auto"/>
            <w:vAlign w:val="center"/>
          </w:tcPr>
          <w:p>
            <w:pPr>
              <w:jc w:val="center"/>
              <w:rPr>
                <w:szCs w:val="21"/>
              </w:rPr>
            </w:pPr>
            <w:r>
              <w:rPr>
                <w:rFonts w:hint="eastAsia"/>
                <w:szCs w:val="21"/>
              </w:rPr>
              <w:t>85</w:t>
            </w:r>
          </w:p>
        </w:tc>
        <w:tc>
          <w:tcPr>
            <w:tcW w:w="1418" w:type="dxa"/>
            <w:shd w:val="clear" w:color="auto" w:fill="auto"/>
            <w:vAlign w:val="center"/>
          </w:tcPr>
          <w:p>
            <w:pPr>
              <w:jc w:val="center"/>
              <w:rPr>
                <w:szCs w:val="21"/>
              </w:rPr>
            </w:pPr>
            <w:r>
              <w:rPr>
                <w:rFonts w:hint="eastAsia"/>
                <w:szCs w:val="21"/>
              </w:rPr>
              <w:t>约120户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锦华新城</w:t>
            </w:r>
          </w:p>
        </w:tc>
        <w:tc>
          <w:tcPr>
            <w:tcW w:w="708" w:type="dxa"/>
            <w:shd w:val="clear" w:color="auto" w:fill="auto"/>
            <w:vAlign w:val="center"/>
          </w:tcPr>
          <w:p>
            <w:pPr>
              <w:jc w:val="center"/>
              <w:rPr>
                <w:szCs w:val="21"/>
              </w:rPr>
            </w:pPr>
            <w:r>
              <w:rPr>
                <w:szCs w:val="21"/>
              </w:rPr>
              <w:t>西</w:t>
            </w:r>
          </w:p>
        </w:tc>
        <w:tc>
          <w:tcPr>
            <w:tcW w:w="850" w:type="dxa"/>
            <w:shd w:val="clear" w:color="auto" w:fill="auto"/>
            <w:vAlign w:val="center"/>
          </w:tcPr>
          <w:p>
            <w:pPr>
              <w:jc w:val="center"/>
              <w:rPr>
                <w:szCs w:val="21"/>
              </w:rPr>
            </w:pPr>
            <w:r>
              <w:rPr>
                <w:szCs w:val="21"/>
              </w:rPr>
              <w:t>322</w:t>
            </w:r>
          </w:p>
        </w:tc>
        <w:tc>
          <w:tcPr>
            <w:tcW w:w="1418" w:type="dxa"/>
            <w:shd w:val="clear" w:color="auto" w:fill="auto"/>
            <w:vAlign w:val="center"/>
          </w:tcPr>
          <w:p>
            <w:pPr>
              <w:jc w:val="center"/>
              <w:rPr>
                <w:szCs w:val="21"/>
              </w:rPr>
            </w:pPr>
            <w:r>
              <w:rPr>
                <w:szCs w:val="21"/>
              </w:rPr>
              <w:t>约2400户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潘窑</w:t>
            </w:r>
          </w:p>
        </w:tc>
        <w:tc>
          <w:tcPr>
            <w:tcW w:w="708" w:type="dxa"/>
            <w:shd w:val="clear" w:color="auto" w:fill="auto"/>
            <w:vAlign w:val="center"/>
          </w:tcPr>
          <w:p>
            <w:pPr>
              <w:jc w:val="center"/>
              <w:rPr>
                <w:szCs w:val="21"/>
              </w:rPr>
            </w:pPr>
            <w:r>
              <w:rPr>
                <w:szCs w:val="21"/>
              </w:rPr>
              <w:t>南</w:t>
            </w:r>
          </w:p>
        </w:tc>
        <w:tc>
          <w:tcPr>
            <w:tcW w:w="850" w:type="dxa"/>
            <w:shd w:val="clear" w:color="auto" w:fill="auto"/>
            <w:vAlign w:val="center"/>
          </w:tcPr>
          <w:p>
            <w:pPr>
              <w:jc w:val="center"/>
              <w:rPr>
                <w:szCs w:val="21"/>
              </w:rPr>
            </w:pPr>
            <w:r>
              <w:rPr>
                <w:szCs w:val="21"/>
              </w:rPr>
              <w:t>333</w:t>
            </w:r>
          </w:p>
        </w:tc>
        <w:tc>
          <w:tcPr>
            <w:tcW w:w="1418" w:type="dxa"/>
            <w:shd w:val="clear" w:color="auto" w:fill="auto"/>
            <w:vAlign w:val="center"/>
          </w:tcPr>
          <w:p>
            <w:pPr>
              <w:jc w:val="center"/>
              <w:rPr>
                <w:szCs w:val="21"/>
              </w:rPr>
            </w:pPr>
            <w:r>
              <w:rPr>
                <w:szCs w:val="21"/>
              </w:rPr>
              <w:t>约800户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外语学院</w:t>
            </w:r>
          </w:p>
        </w:tc>
        <w:tc>
          <w:tcPr>
            <w:tcW w:w="708" w:type="dxa"/>
            <w:shd w:val="clear" w:color="auto" w:fill="auto"/>
            <w:vAlign w:val="center"/>
          </w:tcPr>
          <w:p>
            <w:pPr>
              <w:jc w:val="center"/>
              <w:rPr>
                <w:szCs w:val="21"/>
              </w:rPr>
            </w:pPr>
            <w:r>
              <w:rPr>
                <w:szCs w:val="21"/>
              </w:rPr>
              <w:t>东</w:t>
            </w:r>
          </w:p>
        </w:tc>
        <w:tc>
          <w:tcPr>
            <w:tcW w:w="850" w:type="dxa"/>
            <w:shd w:val="clear" w:color="auto" w:fill="auto"/>
            <w:vAlign w:val="center"/>
          </w:tcPr>
          <w:p>
            <w:pPr>
              <w:jc w:val="center"/>
              <w:rPr>
                <w:szCs w:val="21"/>
              </w:rPr>
            </w:pPr>
            <w:r>
              <w:rPr>
                <w:szCs w:val="21"/>
              </w:rPr>
              <w:t>278</w:t>
            </w:r>
          </w:p>
        </w:tc>
        <w:tc>
          <w:tcPr>
            <w:tcW w:w="1418" w:type="dxa"/>
            <w:shd w:val="clear" w:color="auto" w:fill="auto"/>
            <w:vAlign w:val="center"/>
          </w:tcPr>
          <w:p>
            <w:pPr>
              <w:jc w:val="center"/>
              <w:rPr>
                <w:szCs w:val="21"/>
              </w:rPr>
            </w:pPr>
            <w:r>
              <w:rPr>
                <w:szCs w:val="21"/>
              </w:rPr>
              <w:t>师生约5000人</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明发浦泰板桥锦东（</w:t>
            </w:r>
            <w:r>
              <w:rPr>
                <w:rFonts w:hint="eastAsia"/>
                <w:szCs w:val="21"/>
              </w:rPr>
              <w:t>在</w:t>
            </w:r>
            <w:r>
              <w:rPr>
                <w:szCs w:val="21"/>
              </w:rPr>
              <w:t>建）</w:t>
            </w:r>
          </w:p>
        </w:tc>
        <w:tc>
          <w:tcPr>
            <w:tcW w:w="708" w:type="dxa"/>
            <w:shd w:val="clear" w:color="auto" w:fill="auto"/>
            <w:vAlign w:val="center"/>
          </w:tcPr>
          <w:p>
            <w:pPr>
              <w:jc w:val="center"/>
              <w:rPr>
                <w:szCs w:val="21"/>
              </w:rPr>
            </w:pPr>
            <w:r>
              <w:rPr>
                <w:szCs w:val="21"/>
              </w:rPr>
              <w:t>西</w:t>
            </w:r>
          </w:p>
        </w:tc>
        <w:tc>
          <w:tcPr>
            <w:tcW w:w="850" w:type="dxa"/>
            <w:shd w:val="clear" w:color="auto" w:fill="auto"/>
            <w:vAlign w:val="center"/>
          </w:tcPr>
          <w:p>
            <w:pPr>
              <w:jc w:val="center"/>
              <w:rPr>
                <w:szCs w:val="21"/>
              </w:rPr>
            </w:pPr>
            <w:r>
              <w:rPr>
                <w:szCs w:val="21"/>
              </w:rPr>
              <w:t>323</w:t>
            </w:r>
          </w:p>
        </w:tc>
        <w:tc>
          <w:tcPr>
            <w:tcW w:w="1418" w:type="dxa"/>
            <w:shd w:val="clear" w:color="auto" w:fill="auto"/>
            <w:vAlign w:val="center"/>
          </w:tcPr>
          <w:p>
            <w:pPr>
              <w:jc w:val="center"/>
              <w:rPr>
                <w:szCs w:val="21"/>
              </w:rPr>
            </w:pPr>
            <w:r>
              <w:rPr>
                <w:szCs w:val="21"/>
              </w:rPr>
              <w:t>约1300户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雨花开发区管委会</w:t>
            </w:r>
          </w:p>
        </w:tc>
        <w:tc>
          <w:tcPr>
            <w:tcW w:w="708" w:type="dxa"/>
            <w:shd w:val="clear" w:color="auto" w:fill="auto"/>
            <w:vAlign w:val="center"/>
          </w:tcPr>
          <w:p>
            <w:pPr>
              <w:jc w:val="center"/>
              <w:rPr>
                <w:szCs w:val="21"/>
              </w:rPr>
            </w:pPr>
            <w:r>
              <w:rPr>
                <w:szCs w:val="21"/>
              </w:rPr>
              <w:t>东</w:t>
            </w:r>
          </w:p>
        </w:tc>
        <w:tc>
          <w:tcPr>
            <w:tcW w:w="850" w:type="dxa"/>
            <w:shd w:val="clear" w:color="auto" w:fill="auto"/>
            <w:vAlign w:val="center"/>
          </w:tcPr>
          <w:p>
            <w:pPr>
              <w:jc w:val="center"/>
              <w:rPr>
                <w:szCs w:val="21"/>
              </w:rPr>
            </w:pPr>
            <w:r>
              <w:rPr>
                <w:szCs w:val="21"/>
              </w:rPr>
              <w:t>391</w:t>
            </w:r>
          </w:p>
        </w:tc>
        <w:tc>
          <w:tcPr>
            <w:tcW w:w="1418" w:type="dxa"/>
            <w:shd w:val="clear" w:color="auto" w:fill="auto"/>
            <w:vAlign w:val="center"/>
          </w:tcPr>
          <w:p>
            <w:pPr>
              <w:jc w:val="center"/>
              <w:rPr>
                <w:szCs w:val="21"/>
              </w:rPr>
            </w:pPr>
            <w:r>
              <w:rPr>
                <w:szCs w:val="21"/>
              </w:rPr>
              <w:t>-</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近华新村</w:t>
            </w:r>
          </w:p>
        </w:tc>
        <w:tc>
          <w:tcPr>
            <w:tcW w:w="708" w:type="dxa"/>
            <w:shd w:val="clear" w:color="auto" w:fill="auto"/>
            <w:vAlign w:val="center"/>
          </w:tcPr>
          <w:p>
            <w:pPr>
              <w:jc w:val="center"/>
              <w:rPr>
                <w:szCs w:val="21"/>
              </w:rPr>
            </w:pPr>
            <w:r>
              <w:rPr>
                <w:szCs w:val="21"/>
              </w:rPr>
              <w:t>东南</w:t>
            </w:r>
          </w:p>
        </w:tc>
        <w:tc>
          <w:tcPr>
            <w:tcW w:w="850" w:type="dxa"/>
            <w:shd w:val="clear" w:color="auto" w:fill="auto"/>
            <w:vAlign w:val="center"/>
          </w:tcPr>
          <w:p>
            <w:pPr>
              <w:jc w:val="center"/>
              <w:rPr>
                <w:szCs w:val="21"/>
              </w:rPr>
            </w:pPr>
            <w:r>
              <w:rPr>
                <w:szCs w:val="21"/>
              </w:rPr>
              <w:t>341</w:t>
            </w:r>
          </w:p>
        </w:tc>
        <w:tc>
          <w:tcPr>
            <w:tcW w:w="1418" w:type="dxa"/>
            <w:shd w:val="clear" w:color="auto" w:fill="auto"/>
            <w:vAlign w:val="center"/>
          </w:tcPr>
          <w:p>
            <w:pPr>
              <w:jc w:val="center"/>
              <w:rPr>
                <w:szCs w:val="21"/>
              </w:rPr>
            </w:pPr>
            <w:r>
              <w:rPr>
                <w:szCs w:val="21"/>
              </w:rPr>
              <w:t>约100户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清香美苑</w:t>
            </w:r>
          </w:p>
        </w:tc>
        <w:tc>
          <w:tcPr>
            <w:tcW w:w="708" w:type="dxa"/>
            <w:shd w:val="clear" w:color="auto" w:fill="auto"/>
            <w:vAlign w:val="center"/>
          </w:tcPr>
          <w:p>
            <w:pPr>
              <w:jc w:val="center"/>
              <w:rPr>
                <w:szCs w:val="21"/>
              </w:rPr>
            </w:pPr>
            <w:r>
              <w:rPr>
                <w:szCs w:val="21"/>
              </w:rPr>
              <w:t>东南</w:t>
            </w:r>
          </w:p>
        </w:tc>
        <w:tc>
          <w:tcPr>
            <w:tcW w:w="850" w:type="dxa"/>
            <w:shd w:val="clear" w:color="auto" w:fill="auto"/>
            <w:vAlign w:val="center"/>
          </w:tcPr>
          <w:p>
            <w:pPr>
              <w:jc w:val="center"/>
              <w:rPr>
                <w:szCs w:val="21"/>
              </w:rPr>
            </w:pPr>
            <w:r>
              <w:rPr>
                <w:szCs w:val="21"/>
              </w:rPr>
              <w:t>558</w:t>
            </w:r>
          </w:p>
        </w:tc>
        <w:tc>
          <w:tcPr>
            <w:tcW w:w="1418" w:type="dxa"/>
            <w:shd w:val="clear" w:color="auto" w:fill="auto"/>
            <w:vAlign w:val="center"/>
          </w:tcPr>
          <w:p>
            <w:pPr>
              <w:jc w:val="center"/>
              <w:rPr>
                <w:szCs w:val="21"/>
              </w:rPr>
            </w:pPr>
            <w:r>
              <w:rPr>
                <w:szCs w:val="21"/>
              </w:rPr>
              <w:t>约300户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静华公寓</w:t>
            </w:r>
          </w:p>
        </w:tc>
        <w:tc>
          <w:tcPr>
            <w:tcW w:w="708" w:type="dxa"/>
            <w:shd w:val="clear" w:color="auto" w:fill="auto"/>
            <w:vAlign w:val="center"/>
          </w:tcPr>
          <w:p>
            <w:pPr>
              <w:jc w:val="center"/>
              <w:rPr>
                <w:szCs w:val="21"/>
              </w:rPr>
            </w:pPr>
            <w:r>
              <w:rPr>
                <w:szCs w:val="21"/>
              </w:rPr>
              <w:t>东南</w:t>
            </w:r>
          </w:p>
        </w:tc>
        <w:tc>
          <w:tcPr>
            <w:tcW w:w="850" w:type="dxa"/>
            <w:shd w:val="clear" w:color="auto" w:fill="auto"/>
            <w:vAlign w:val="center"/>
          </w:tcPr>
          <w:p>
            <w:pPr>
              <w:jc w:val="center"/>
              <w:rPr>
                <w:szCs w:val="21"/>
              </w:rPr>
            </w:pPr>
            <w:r>
              <w:rPr>
                <w:szCs w:val="21"/>
              </w:rPr>
              <w:t>714</w:t>
            </w:r>
          </w:p>
        </w:tc>
        <w:tc>
          <w:tcPr>
            <w:tcW w:w="1418" w:type="dxa"/>
            <w:shd w:val="clear" w:color="auto" w:fill="auto"/>
            <w:vAlign w:val="center"/>
          </w:tcPr>
          <w:p>
            <w:pPr>
              <w:jc w:val="center"/>
              <w:rPr>
                <w:szCs w:val="21"/>
              </w:rPr>
            </w:pPr>
            <w:r>
              <w:rPr>
                <w:szCs w:val="21"/>
              </w:rPr>
              <w:t>约350户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朝阳西苑</w:t>
            </w:r>
          </w:p>
        </w:tc>
        <w:tc>
          <w:tcPr>
            <w:tcW w:w="708" w:type="dxa"/>
            <w:shd w:val="clear" w:color="auto" w:fill="auto"/>
            <w:vAlign w:val="center"/>
          </w:tcPr>
          <w:p>
            <w:pPr>
              <w:jc w:val="center"/>
              <w:rPr>
                <w:szCs w:val="21"/>
              </w:rPr>
            </w:pPr>
            <w:r>
              <w:rPr>
                <w:szCs w:val="21"/>
              </w:rPr>
              <w:t>东南</w:t>
            </w:r>
          </w:p>
        </w:tc>
        <w:tc>
          <w:tcPr>
            <w:tcW w:w="850" w:type="dxa"/>
            <w:shd w:val="clear" w:color="auto" w:fill="auto"/>
            <w:vAlign w:val="center"/>
          </w:tcPr>
          <w:p>
            <w:pPr>
              <w:jc w:val="center"/>
              <w:rPr>
                <w:szCs w:val="21"/>
              </w:rPr>
            </w:pPr>
            <w:r>
              <w:rPr>
                <w:szCs w:val="21"/>
              </w:rPr>
              <w:t>961</w:t>
            </w:r>
          </w:p>
        </w:tc>
        <w:tc>
          <w:tcPr>
            <w:tcW w:w="1418" w:type="dxa"/>
            <w:shd w:val="clear" w:color="auto" w:fill="auto"/>
            <w:vAlign w:val="center"/>
          </w:tcPr>
          <w:p>
            <w:pPr>
              <w:jc w:val="center"/>
              <w:rPr>
                <w:szCs w:val="21"/>
              </w:rPr>
            </w:pPr>
            <w:r>
              <w:rPr>
                <w:szCs w:val="21"/>
              </w:rPr>
              <w:t>约800户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南奥新居</w:t>
            </w:r>
          </w:p>
        </w:tc>
        <w:tc>
          <w:tcPr>
            <w:tcW w:w="708" w:type="dxa"/>
            <w:shd w:val="clear" w:color="auto" w:fill="auto"/>
            <w:vAlign w:val="center"/>
          </w:tcPr>
          <w:p>
            <w:pPr>
              <w:jc w:val="center"/>
              <w:rPr>
                <w:szCs w:val="21"/>
              </w:rPr>
            </w:pPr>
            <w:r>
              <w:rPr>
                <w:szCs w:val="21"/>
              </w:rPr>
              <w:t>东</w:t>
            </w:r>
          </w:p>
        </w:tc>
        <w:tc>
          <w:tcPr>
            <w:tcW w:w="850" w:type="dxa"/>
            <w:shd w:val="clear" w:color="auto" w:fill="auto"/>
            <w:vAlign w:val="center"/>
          </w:tcPr>
          <w:p>
            <w:pPr>
              <w:jc w:val="center"/>
              <w:rPr>
                <w:szCs w:val="21"/>
              </w:rPr>
            </w:pPr>
            <w:r>
              <w:rPr>
                <w:szCs w:val="21"/>
              </w:rPr>
              <w:t>954</w:t>
            </w:r>
          </w:p>
        </w:tc>
        <w:tc>
          <w:tcPr>
            <w:tcW w:w="1418" w:type="dxa"/>
            <w:shd w:val="clear" w:color="auto" w:fill="auto"/>
            <w:vAlign w:val="center"/>
          </w:tcPr>
          <w:p>
            <w:pPr>
              <w:jc w:val="center"/>
              <w:rPr>
                <w:szCs w:val="21"/>
              </w:rPr>
            </w:pPr>
            <w:r>
              <w:rPr>
                <w:szCs w:val="21"/>
              </w:rPr>
              <w:t>约200户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rFonts w:hint="eastAsia"/>
                <w:szCs w:val="21"/>
              </w:rPr>
              <w:t>胜利南苑</w:t>
            </w:r>
          </w:p>
        </w:tc>
        <w:tc>
          <w:tcPr>
            <w:tcW w:w="708" w:type="dxa"/>
            <w:shd w:val="clear" w:color="auto" w:fill="auto"/>
            <w:vAlign w:val="center"/>
          </w:tcPr>
          <w:p>
            <w:pPr>
              <w:jc w:val="center"/>
              <w:rPr>
                <w:szCs w:val="21"/>
              </w:rPr>
            </w:pPr>
            <w:r>
              <w:rPr>
                <w:rFonts w:hint="eastAsia"/>
                <w:szCs w:val="21"/>
              </w:rPr>
              <w:t>东南</w:t>
            </w:r>
          </w:p>
        </w:tc>
        <w:tc>
          <w:tcPr>
            <w:tcW w:w="850" w:type="dxa"/>
            <w:shd w:val="clear" w:color="auto" w:fill="auto"/>
            <w:vAlign w:val="center"/>
          </w:tcPr>
          <w:p>
            <w:pPr>
              <w:jc w:val="center"/>
              <w:rPr>
                <w:szCs w:val="21"/>
              </w:rPr>
            </w:pPr>
            <w:r>
              <w:rPr>
                <w:rFonts w:hint="eastAsia"/>
                <w:szCs w:val="21"/>
              </w:rPr>
              <w:t>1200</w:t>
            </w:r>
          </w:p>
        </w:tc>
        <w:tc>
          <w:tcPr>
            <w:tcW w:w="1418" w:type="dxa"/>
            <w:shd w:val="clear" w:color="auto" w:fill="auto"/>
            <w:vAlign w:val="center"/>
          </w:tcPr>
          <w:p>
            <w:pPr>
              <w:jc w:val="center"/>
              <w:rPr>
                <w:szCs w:val="21"/>
              </w:rPr>
            </w:pPr>
            <w:r>
              <w:rPr>
                <w:szCs w:val="21"/>
              </w:rPr>
              <w:t>约</w:t>
            </w:r>
            <w:r>
              <w:rPr>
                <w:rFonts w:hint="eastAsia"/>
                <w:szCs w:val="21"/>
              </w:rPr>
              <w:t>12</w:t>
            </w:r>
            <w:r>
              <w:rPr>
                <w:szCs w:val="21"/>
              </w:rPr>
              <w:t>0人</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人才公寓</w:t>
            </w:r>
          </w:p>
        </w:tc>
        <w:tc>
          <w:tcPr>
            <w:tcW w:w="708" w:type="dxa"/>
            <w:shd w:val="clear" w:color="auto" w:fill="auto"/>
            <w:vAlign w:val="center"/>
          </w:tcPr>
          <w:p>
            <w:pPr>
              <w:jc w:val="center"/>
              <w:rPr>
                <w:szCs w:val="21"/>
              </w:rPr>
            </w:pPr>
            <w:r>
              <w:rPr>
                <w:szCs w:val="21"/>
              </w:rPr>
              <w:t>西北</w:t>
            </w:r>
          </w:p>
        </w:tc>
        <w:tc>
          <w:tcPr>
            <w:tcW w:w="850" w:type="dxa"/>
            <w:shd w:val="clear" w:color="auto" w:fill="auto"/>
            <w:vAlign w:val="center"/>
          </w:tcPr>
          <w:p>
            <w:pPr>
              <w:jc w:val="center"/>
              <w:rPr>
                <w:szCs w:val="21"/>
              </w:rPr>
            </w:pPr>
            <w:r>
              <w:rPr>
                <w:szCs w:val="21"/>
              </w:rPr>
              <w:t>1200</w:t>
            </w:r>
          </w:p>
        </w:tc>
        <w:tc>
          <w:tcPr>
            <w:tcW w:w="1418" w:type="dxa"/>
            <w:shd w:val="clear" w:color="auto" w:fill="auto"/>
            <w:vAlign w:val="center"/>
          </w:tcPr>
          <w:p>
            <w:pPr>
              <w:jc w:val="center"/>
              <w:rPr>
                <w:szCs w:val="21"/>
              </w:rPr>
            </w:pPr>
            <w:r>
              <w:rPr>
                <w:szCs w:val="21"/>
              </w:rPr>
              <w:t>约300人</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向阳雅居</w:t>
            </w:r>
          </w:p>
        </w:tc>
        <w:tc>
          <w:tcPr>
            <w:tcW w:w="708" w:type="dxa"/>
            <w:shd w:val="clear" w:color="auto" w:fill="auto"/>
            <w:vAlign w:val="center"/>
          </w:tcPr>
          <w:p>
            <w:pPr>
              <w:jc w:val="center"/>
              <w:rPr>
                <w:szCs w:val="21"/>
              </w:rPr>
            </w:pPr>
            <w:r>
              <w:rPr>
                <w:szCs w:val="21"/>
              </w:rPr>
              <w:t>东</w:t>
            </w:r>
          </w:p>
        </w:tc>
        <w:tc>
          <w:tcPr>
            <w:tcW w:w="850" w:type="dxa"/>
            <w:shd w:val="clear" w:color="auto" w:fill="auto"/>
            <w:vAlign w:val="center"/>
          </w:tcPr>
          <w:p>
            <w:pPr>
              <w:jc w:val="center"/>
              <w:rPr>
                <w:szCs w:val="21"/>
              </w:rPr>
            </w:pPr>
            <w:r>
              <w:rPr>
                <w:szCs w:val="21"/>
              </w:rPr>
              <w:t>1400</w:t>
            </w:r>
          </w:p>
        </w:tc>
        <w:tc>
          <w:tcPr>
            <w:tcW w:w="1418" w:type="dxa"/>
            <w:shd w:val="clear" w:color="auto" w:fill="auto"/>
            <w:vAlign w:val="center"/>
          </w:tcPr>
          <w:p>
            <w:pPr>
              <w:jc w:val="center"/>
              <w:rPr>
                <w:szCs w:val="21"/>
              </w:rPr>
            </w:pPr>
            <w:r>
              <w:rPr>
                <w:szCs w:val="21"/>
              </w:rPr>
              <w:t>约900户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黄家凹</w:t>
            </w:r>
          </w:p>
        </w:tc>
        <w:tc>
          <w:tcPr>
            <w:tcW w:w="708" w:type="dxa"/>
            <w:shd w:val="clear" w:color="auto" w:fill="auto"/>
            <w:vAlign w:val="center"/>
          </w:tcPr>
          <w:p>
            <w:pPr>
              <w:jc w:val="center"/>
              <w:rPr>
                <w:szCs w:val="21"/>
              </w:rPr>
            </w:pPr>
            <w:r>
              <w:rPr>
                <w:szCs w:val="21"/>
              </w:rPr>
              <w:t>南</w:t>
            </w:r>
          </w:p>
        </w:tc>
        <w:tc>
          <w:tcPr>
            <w:tcW w:w="850" w:type="dxa"/>
            <w:shd w:val="clear" w:color="auto" w:fill="auto"/>
            <w:vAlign w:val="center"/>
          </w:tcPr>
          <w:p>
            <w:pPr>
              <w:jc w:val="center"/>
              <w:rPr>
                <w:szCs w:val="21"/>
              </w:rPr>
            </w:pPr>
            <w:r>
              <w:rPr>
                <w:szCs w:val="21"/>
              </w:rPr>
              <w:t>1200</w:t>
            </w:r>
          </w:p>
        </w:tc>
        <w:tc>
          <w:tcPr>
            <w:tcW w:w="1418" w:type="dxa"/>
            <w:shd w:val="clear" w:color="auto" w:fill="auto"/>
            <w:vAlign w:val="center"/>
          </w:tcPr>
          <w:p>
            <w:pPr>
              <w:jc w:val="center"/>
              <w:rPr>
                <w:szCs w:val="21"/>
              </w:rPr>
            </w:pPr>
            <w:r>
              <w:rPr>
                <w:szCs w:val="21"/>
              </w:rPr>
              <w:t>约25户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瓦屋头</w:t>
            </w:r>
          </w:p>
        </w:tc>
        <w:tc>
          <w:tcPr>
            <w:tcW w:w="708" w:type="dxa"/>
            <w:shd w:val="clear" w:color="auto" w:fill="auto"/>
            <w:vAlign w:val="center"/>
          </w:tcPr>
          <w:p>
            <w:pPr>
              <w:jc w:val="center"/>
              <w:rPr>
                <w:szCs w:val="21"/>
              </w:rPr>
            </w:pPr>
            <w:r>
              <w:rPr>
                <w:szCs w:val="21"/>
              </w:rPr>
              <w:t>东南</w:t>
            </w:r>
          </w:p>
        </w:tc>
        <w:tc>
          <w:tcPr>
            <w:tcW w:w="850" w:type="dxa"/>
            <w:shd w:val="clear" w:color="auto" w:fill="auto"/>
            <w:vAlign w:val="center"/>
          </w:tcPr>
          <w:p>
            <w:pPr>
              <w:jc w:val="center"/>
              <w:rPr>
                <w:szCs w:val="21"/>
              </w:rPr>
            </w:pPr>
            <w:r>
              <w:rPr>
                <w:szCs w:val="21"/>
              </w:rPr>
              <w:t>1900</w:t>
            </w:r>
          </w:p>
        </w:tc>
        <w:tc>
          <w:tcPr>
            <w:tcW w:w="1418" w:type="dxa"/>
            <w:shd w:val="clear" w:color="auto" w:fill="auto"/>
            <w:vAlign w:val="center"/>
          </w:tcPr>
          <w:p>
            <w:pPr>
              <w:jc w:val="center"/>
              <w:rPr>
                <w:szCs w:val="21"/>
              </w:rPr>
            </w:pPr>
            <w:r>
              <w:rPr>
                <w:szCs w:val="21"/>
              </w:rPr>
              <w:t>约560户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王胜村</w:t>
            </w:r>
          </w:p>
        </w:tc>
        <w:tc>
          <w:tcPr>
            <w:tcW w:w="708" w:type="dxa"/>
            <w:shd w:val="clear" w:color="auto" w:fill="auto"/>
            <w:vAlign w:val="center"/>
          </w:tcPr>
          <w:p>
            <w:pPr>
              <w:jc w:val="center"/>
              <w:rPr>
                <w:szCs w:val="21"/>
              </w:rPr>
            </w:pPr>
            <w:r>
              <w:rPr>
                <w:szCs w:val="21"/>
              </w:rPr>
              <w:t>西北</w:t>
            </w:r>
          </w:p>
        </w:tc>
        <w:tc>
          <w:tcPr>
            <w:tcW w:w="850" w:type="dxa"/>
            <w:shd w:val="clear" w:color="auto" w:fill="auto"/>
            <w:vAlign w:val="center"/>
          </w:tcPr>
          <w:p>
            <w:pPr>
              <w:jc w:val="center"/>
              <w:rPr>
                <w:szCs w:val="21"/>
              </w:rPr>
            </w:pPr>
            <w:r>
              <w:rPr>
                <w:szCs w:val="21"/>
              </w:rPr>
              <w:t>2000</w:t>
            </w:r>
          </w:p>
        </w:tc>
        <w:tc>
          <w:tcPr>
            <w:tcW w:w="1418" w:type="dxa"/>
            <w:shd w:val="clear" w:color="auto" w:fill="auto"/>
            <w:vAlign w:val="center"/>
          </w:tcPr>
          <w:p>
            <w:pPr>
              <w:jc w:val="center"/>
              <w:rPr>
                <w:szCs w:val="21"/>
              </w:rPr>
            </w:pPr>
            <w:r>
              <w:rPr>
                <w:szCs w:val="21"/>
              </w:rPr>
              <w:t>约30户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古雄新居</w:t>
            </w:r>
          </w:p>
        </w:tc>
        <w:tc>
          <w:tcPr>
            <w:tcW w:w="708" w:type="dxa"/>
            <w:shd w:val="clear" w:color="auto" w:fill="auto"/>
            <w:vAlign w:val="center"/>
          </w:tcPr>
          <w:p>
            <w:pPr>
              <w:jc w:val="center"/>
              <w:rPr>
                <w:szCs w:val="21"/>
              </w:rPr>
            </w:pPr>
            <w:r>
              <w:rPr>
                <w:szCs w:val="21"/>
              </w:rPr>
              <w:t>南</w:t>
            </w:r>
          </w:p>
        </w:tc>
        <w:tc>
          <w:tcPr>
            <w:tcW w:w="850" w:type="dxa"/>
            <w:shd w:val="clear" w:color="auto" w:fill="auto"/>
            <w:vAlign w:val="center"/>
          </w:tcPr>
          <w:p>
            <w:pPr>
              <w:jc w:val="center"/>
              <w:rPr>
                <w:szCs w:val="21"/>
              </w:rPr>
            </w:pPr>
            <w:r>
              <w:rPr>
                <w:szCs w:val="21"/>
              </w:rPr>
              <w:t>2100</w:t>
            </w:r>
          </w:p>
        </w:tc>
        <w:tc>
          <w:tcPr>
            <w:tcW w:w="1418" w:type="dxa"/>
            <w:shd w:val="clear" w:color="auto" w:fill="auto"/>
            <w:vAlign w:val="center"/>
          </w:tcPr>
          <w:p>
            <w:pPr>
              <w:jc w:val="center"/>
              <w:rPr>
                <w:szCs w:val="21"/>
              </w:rPr>
            </w:pPr>
            <w:r>
              <w:rPr>
                <w:szCs w:val="21"/>
              </w:rPr>
              <w:t>约500户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扬子江边</w:t>
            </w:r>
          </w:p>
        </w:tc>
        <w:tc>
          <w:tcPr>
            <w:tcW w:w="708" w:type="dxa"/>
            <w:shd w:val="clear" w:color="auto" w:fill="auto"/>
            <w:vAlign w:val="center"/>
          </w:tcPr>
          <w:p>
            <w:pPr>
              <w:jc w:val="center"/>
              <w:rPr>
                <w:szCs w:val="21"/>
              </w:rPr>
            </w:pPr>
            <w:r>
              <w:rPr>
                <w:szCs w:val="21"/>
              </w:rPr>
              <w:t>西北</w:t>
            </w:r>
          </w:p>
        </w:tc>
        <w:tc>
          <w:tcPr>
            <w:tcW w:w="850" w:type="dxa"/>
            <w:shd w:val="clear" w:color="auto" w:fill="auto"/>
            <w:vAlign w:val="center"/>
          </w:tcPr>
          <w:p>
            <w:pPr>
              <w:jc w:val="center"/>
              <w:rPr>
                <w:szCs w:val="21"/>
              </w:rPr>
            </w:pPr>
            <w:r>
              <w:rPr>
                <w:szCs w:val="21"/>
              </w:rPr>
              <w:t>2200</w:t>
            </w:r>
          </w:p>
        </w:tc>
        <w:tc>
          <w:tcPr>
            <w:tcW w:w="1418" w:type="dxa"/>
            <w:shd w:val="clear" w:color="auto" w:fill="auto"/>
            <w:vAlign w:val="center"/>
          </w:tcPr>
          <w:p>
            <w:pPr>
              <w:jc w:val="center"/>
              <w:rPr>
                <w:szCs w:val="21"/>
              </w:rPr>
            </w:pPr>
            <w:r>
              <w:rPr>
                <w:szCs w:val="21"/>
              </w:rPr>
              <w:t>约20户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5" w:hRule="atLeast"/>
        </w:trPr>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板桥中学</w:t>
            </w:r>
          </w:p>
        </w:tc>
        <w:tc>
          <w:tcPr>
            <w:tcW w:w="708" w:type="dxa"/>
            <w:shd w:val="clear" w:color="auto" w:fill="auto"/>
            <w:vAlign w:val="center"/>
          </w:tcPr>
          <w:p>
            <w:pPr>
              <w:jc w:val="center"/>
              <w:rPr>
                <w:szCs w:val="21"/>
              </w:rPr>
            </w:pPr>
            <w:r>
              <w:rPr>
                <w:szCs w:val="21"/>
              </w:rPr>
              <w:t>东南</w:t>
            </w:r>
          </w:p>
        </w:tc>
        <w:tc>
          <w:tcPr>
            <w:tcW w:w="850" w:type="dxa"/>
            <w:shd w:val="clear" w:color="auto" w:fill="auto"/>
            <w:vAlign w:val="center"/>
          </w:tcPr>
          <w:p>
            <w:pPr>
              <w:jc w:val="center"/>
              <w:rPr>
                <w:szCs w:val="21"/>
              </w:rPr>
            </w:pPr>
            <w:r>
              <w:rPr>
                <w:szCs w:val="21"/>
              </w:rPr>
              <w:t>2100</w:t>
            </w:r>
          </w:p>
        </w:tc>
        <w:tc>
          <w:tcPr>
            <w:tcW w:w="1418" w:type="dxa"/>
            <w:shd w:val="clear" w:color="auto" w:fill="auto"/>
            <w:vAlign w:val="center"/>
          </w:tcPr>
          <w:p>
            <w:pPr>
              <w:jc w:val="center"/>
              <w:rPr>
                <w:szCs w:val="21"/>
              </w:rPr>
            </w:pPr>
            <w:r>
              <w:rPr>
                <w:szCs w:val="21"/>
              </w:rPr>
              <w:t>师生数约900人</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5" w:hRule="atLeast"/>
        </w:trPr>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新林芳庭</w:t>
            </w:r>
          </w:p>
        </w:tc>
        <w:tc>
          <w:tcPr>
            <w:tcW w:w="708" w:type="dxa"/>
            <w:shd w:val="clear" w:color="auto" w:fill="auto"/>
            <w:vAlign w:val="center"/>
          </w:tcPr>
          <w:p>
            <w:pPr>
              <w:jc w:val="center"/>
              <w:rPr>
                <w:szCs w:val="21"/>
              </w:rPr>
            </w:pPr>
            <w:r>
              <w:rPr>
                <w:szCs w:val="21"/>
              </w:rPr>
              <w:t>南</w:t>
            </w:r>
          </w:p>
        </w:tc>
        <w:tc>
          <w:tcPr>
            <w:tcW w:w="850" w:type="dxa"/>
            <w:shd w:val="clear" w:color="auto" w:fill="auto"/>
            <w:vAlign w:val="center"/>
          </w:tcPr>
          <w:p>
            <w:pPr>
              <w:jc w:val="center"/>
              <w:rPr>
                <w:szCs w:val="21"/>
              </w:rPr>
            </w:pPr>
            <w:r>
              <w:rPr>
                <w:szCs w:val="21"/>
              </w:rPr>
              <w:t>2400</w:t>
            </w:r>
          </w:p>
        </w:tc>
        <w:tc>
          <w:tcPr>
            <w:tcW w:w="1418" w:type="dxa"/>
            <w:shd w:val="clear" w:color="auto" w:fill="auto"/>
            <w:vAlign w:val="center"/>
          </w:tcPr>
          <w:p>
            <w:pPr>
              <w:jc w:val="center"/>
              <w:rPr>
                <w:szCs w:val="21"/>
              </w:rPr>
            </w:pPr>
            <w:r>
              <w:rPr>
                <w:szCs w:val="21"/>
              </w:rPr>
              <w:t>约560户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5" w:hRule="atLeast"/>
        </w:trPr>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金域华府2期（在建）</w:t>
            </w:r>
          </w:p>
        </w:tc>
        <w:tc>
          <w:tcPr>
            <w:tcW w:w="708" w:type="dxa"/>
            <w:shd w:val="clear" w:color="auto" w:fill="auto"/>
            <w:vAlign w:val="center"/>
          </w:tcPr>
          <w:p>
            <w:pPr>
              <w:jc w:val="center"/>
              <w:rPr>
                <w:szCs w:val="21"/>
              </w:rPr>
            </w:pPr>
            <w:r>
              <w:rPr>
                <w:szCs w:val="21"/>
              </w:rPr>
              <w:t>南</w:t>
            </w:r>
          </w:p>
        </w:tc>
        <w:tc>
          <w:tcPr>
            <w:tcW w:w="850" w:type="dxa"/>
            <w:shd w:val="clear" w:color="auto" w:fill="auto"/>
            <w:vAlign w:val="center"/>
          </w:tcPr>
          <w:p>
            <w:pPr>
              <w:jc w:val="center"/>
              <w:rPr>
                <w:szCs w:val="21"/>
              </w:rPr>
            </w:pPr>
            <w:r>
              <w:rPr>
                <w:szCs w:val="21"/>
              </w:rPr>
              <w:t>1800</w:t>
            </w:r>
          </w:p>
        </w:tc>
        <w:tc>
          <w:tcPr>
            <w:tcW w:w="1418" w:type="dxa"/>
            <w:shd w:val="clear" w:color="auto" w:fill="auto"/>
            <w:vAlign w:val="center"/>
          </w:tcPr>
          <w:p>
            <w:pPr>
              <w:jc w:val="center"/>
              <w:rPr>
                <w:szCs w:val="21"/>
              </w:rPr>
            </w:pPr>
            <w:r>
              <w:rPr>
                <w:szCs w:val="21"/>
              </w:rPr>
              <w:t>约2000户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7" w:hRule="atLeast"/>
        </w:trPr>
        <w:tc>
          <w:tcPr>
            <w:tcW w:w="678" w:type="dxa"/>
            <w:vMerge w:val="restart"/>
            <w:shd w:val="clear" w:color="auto" w:fill="auto"/>
            <w:vAlign w:val="center"/>
          </w:tcPr>
          <w:p>
            <w:pPr>
              <w:jc w:val="center"/>
              <w:rPr>
                <w:szCs w:val="21"/>
              </w:rPr>
            </w:pPr>
            <w:r>
              <w:rPr>
                <w:szCs w:val="21"/>
              </w:rPr>
              <w:t>声环境</w:t>
            </w:r>
          </w:p>
        </w:tc>
        <w:tc>
          <w:tcPr>
            <w:tcW w:w="2691" w:type="dxa"/>
            <w:shd w:val="clear" w:color="auto" w:fill="auto"/>
            <w:vAlign w:val="center"/>
          </w:tcPr>
          <w:p>
            <w:pPr>
              <w:jc w:val="center"/>
              <w:rPr>
                <w:szCs w:val="21"/>
              </w:rPr>
            </w:pPr>
            <w:r>
              <w:rPr>
                <w:rFonts w:hint="eastAsia"/>
                <w:sz w:val="18"/>
                <w:szCs w:val="21"/>
              </w:rPr>
              <w:t>爱普莱斯研发/生活配套用房</w:t>
            </w:r>
          </w:p>
        </w:tc>
        <w:tc>
          <w:tcPr>
            <w:tcW w:w="708" w:type="dxa"/>
            <w:shd w:val="clear" w:color="auto" w:fill="auto"/>
            <w:vAlign w:val="center"/>
          </w:tcPr>
          <w:p>
            <w:pPr>
              <w:jc w:val="center"/>
              <w:rPr>
                <w:szCs w:val="21"/>
              </w:rPr>
            </w:pPr>
            <w:r>
              <w:rPr>
                <w:rFonts w:hint="eastAsia"/>
                <w:szCs w:val="21"/>
              </w:rPr>
              <w:t>东南</w:t>
            </w:r>
          </w:p>
        </w:tc>
        <w:tc>
          <w:tcPr>
            <w:tcW w:w="850" w:type="dxa"/>
            <w:shd w:val="clear" w:color="auto" w:fill="auto"/>
            <w:vAlign w:val="center"/>
          </w:tcPr>
          <w:p>
            <w:pPr>
              <w:jc w:val="center"/>
              <w:rPr>
                <w:szCs w:val="21"/>
              </w:rPr>
            </w:pPr>
            <w:r>
              <w:rPr>
                <w:rFonts w:hint="eastAsia"/>
                <w:szCs w:val="21"/>
              </w:rPr>
              <w:t>17</w:t>
            </w:r>
          </w:p>
        </w:tc>
        <w:tc>
          <w:tcPr>
            <w:tcW w:w="1418" w:type="dxa"/>
            <w:shd w:val="clear" w:color="auto" w:fill="auto"/>
            <w:vAlign w:val="center"/>
          </w:tcPr>
          <w:p>
            <w:pPr>
              <w:jc w:val="center"/>
              <w:rPr>
                <w:szCs w:val="21"/>
              </w:rPr>
            </w:pPr>
            <w:r>
              <w:rPr>
                <w:rFonts w:hint="eastAsia"/>
                <w:szCs w:val="21"/>
              </w:rPr>
              <w:t>约1600人</w:t>
            </w:r>
          </w:p>
        </w:tc>
        <w:tc>
          <w:tcPr>
            <w:tcW w:w="2185" w:type="dxa"/>
            <w:vMerge w:val="restart"/>
            <w:shd w:val="clear" w:color="auto" w:fill="auto"/>
            <w:vAlign w:val="center"/>
          </w:tcPr>
          <w:p>
            <w:pPr>
              <w:jc w:val="center"/>
              <w:rPr>
                <w:szCs w:val="21"/>
              </w:rPr>
            </w:pPr>
            <w:r>
              <w:rPr>
                <w:szCs w:val="21"/>
              </w:rPr>
              <w:t xml:space="preserve">《声环境质量标准》（GB 3096-2008 </w:t>
            </w:r>
            <w:r>
              <w:rPr>
                <w:rFonts w:hint="eastAsia"/>
                <w:szCs w:val="21"/>
              </w:rPr>
              <w:t>）</w:t>
            </w:r>
            <w:r>
              <w:rPr>
                <w:szCs w:val="21"/>
              </w:rPr>
              <w:t xml:space="preserve"> 2类标准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7" w:hRule="atLeast"/>
        </w:trPr>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正达公寓</w:t>
            </w:r>
          </w:p>
        </w:tc>
        <w:tc>
          <w:tcPr>
            <w:tcW w:w="708" w:type="dxa"/>
            <w:shd w:val="clear" w:color="auto" w:fill="auto"/>
            <w:vAlign w:val="center"/>
          </w:tcPr>
          <w:p>
            <w:pPr>
              <w:jc w:val="center"/>
              <w:rPr>
                <w:szCs w:val="21"/>
              </w:rPr>
            </w:pPr>
            <w:r>
              <w:rPr>
                <w:szCs w:val="21"/>
              </w:rPr>
              <w:t>东</w:t>
            </w:r>
          </w:p>
        </w:tc>
        <w:tc>
          <w:tcPr>
            <w:tcW w:w="850" w:type="dxa"/>
            <w:shd w:val="clear" w:color="auto" w:fill="auto"/>
            <w:vAlign w:val="center"/>
          </w:tcPr>
          <w:p>
            <w:pPr>
              <w:jc w:val="center"/>
              <w:rPr>
                <w:szCs w:val="21"/>
              </w:rPr>
            </w:pPr>
            <w:r>
              <w:rPr>
                <w:szCs w:val="21"/>
              </w:rPr>
              <w:t>48</w:t>
            </w:r>
          </w:p>
        </w:tc>
        <w:tc>
          <w:tcPr>
            <w:tcW w:w="1418" w:type="dxa"/>
            <w:shd w:val="clear" w:color="auto" w:fill="auto"/>
            <w:vAlign w:val="center"/>
          </w:tcPr>
          <w:p>
            <w:pPr>
              <w:jc w:val="center"/>
              <w:rPr>
                <w:szCs w:val="21"/>
              </w:rPr>
            </w:pPr>
            <w:r>
              <w:rPr>
                <w:szCs w:val="21"/>
              </w:rPr>
              <w:t>约90户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7" w:hRule="atLeast"/>
        </w:trPr>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金叶花园</w:t>
            </w:r>
          </w:p>
        </w:tc>
        <w:tc>
          <w:tcPr>
            <w:tcW w:w="708" w:type="dxa"/>
            <w:shd w:val="clear" w:color="auto" w:fill="auto"/>
            <w:vAlign w:val="center"/>
          </w:tcPr>
          <w:p>
            <w:pPr>
              <w:jc w:val="center"/>
              <w:rPr>
                <w:szCs w:val="21"/>
              </w:rPr>
            </w:pPr>
            <w:r>
              <w:rPr>
                <w:szCs w:val="21"/>
              </w:rPr>
              <w:t>东</w:t>
            </w:r>
          </w:p>
        </w:tc>
        <w:tc>
          <w:tcPr>
            <w:tcW w:w="850" w:type="dxa"/>
            <w:shd w:val="clear" w:color="auto" w:fill="auto"/>
            <w:vAlign w:val="center"/>
          </w:tcPr>
          <w:p>
            <w:pPr>
              <w:jc w:val="center"/>
              <w:rPr>
                <w:szCs w:val="21"/>
              </w:rPr>
            </w:pPr>
            <w:r>
              <w:rPr>
                <w:szCs w:val="21"/>
              </w:rPr>
              <w:t>83</w:t>
            </w:r>
          </w:p>
        </w:tc>
        <w:tc>
          <w:tcPr>
            <w:tcW w:w="1418" w:type="dxa"/>
            <w:shd w:val="clear" w:color="auto" w:fill="auto"/>
            <w:vAlign w:val="center"/>
          </w:tcPr>
          <w:p>
            <w:pPr>
              <w:jc w:val="center"/>
              <w:rPr>
                <w:szCs w:val="21"/>
              </w:rPr>
            </w:pPr>
            <w:r>
              <w:rPr>
                <w:szCs w:val="21"/>
              </w:rPr>
              <w:t>约800户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7" w:hRule="atLeast"/>
        </w:trPr>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rFonts w:hint="eastAsia"/>
                <w:szCs w:val="21"/>
              </w:rPr>
              <w:t>惠安新居</w:t>
            </w:r>
          </w:p>
        </w:tc>
        <w:tc>
          <w:tcPr>
            <w:tcW w:w="708" w:type="dxa"/>
            <w:shd w:val="clear" w:color="auto" w:fill="auto"/>
            <w:vAlign w:val="center"/>
          </w:tcPr>
          <w:p>
            <w:pPr>
              <w:jc w:val="center"/>
              <w:rPr>
                <w:szCs w:val="21"/>
              </w:rPr>
            </w:pPr>
            <w:r>
              <w:rPr>
                <w:rFonts w:hint="eastAsia"/>
                <w:szCs w:val="21"/>
              </w:rPr>
              <w:t>东南</w:t>
            </w:r>
          </w:p>
        </w:tc>
        <w:tc>
          <w:tcPr>
            <w:tcW w:w="850" w:type="dxa"/>
            <w:shd w:val="clear" w:color="auto" w:fill="auto"/>
            <w:vAlign w:val="center"/>
          </w:tcPr>
          <w:p>
            <w:pPr>
              <w:jc w:val="center"/>
              <w:rPr>
                <w:szCs w:val="21"/>
              </w:rPr>
            </w:pPr>
            <w:r>
              <w:rPr>
                <w:rFonts w:hint="eastAsia"/>
                <w:szCs w:val="21"/>
              </w:rPr>
              <w:t>85</w:t>
            </w:r>
          </w:p>
        </w:tc>
        <w:tc>
          <w:tcPr>
            <w:tcW w:w="1418" w:type="dxa"/>
            <w:shd w:val="clear" w:color="auto" w:fill="auto"/>
            <w:vAlign w:val="center"/>
          </w:tcPr>
          <w:p>
            <w:pPr>
              <w:jc w:val="center"/>
              <w:rPr>
                <w:szCs w:val="21"/>
              </w:rPr>
            </w:pPr>
            <w:r>
              <w:rPr>
                <w:rFonts w:hint="eastAsia"/>
                <w:szCs w:val="21"/>
              </w:rPr>
              <w:t>约120户</w:t>
            </w:r>
          </w:p>
        </w:tc>
        <w:tc>
          <w:tcPr>
            <w:tcW w:w="2185" w:type="dxa"/>
            <w:vMerge w:val="continue"/>
            <w:shd w:val="clear" w:color="auto" w:fill="auto"/>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szCs w:val="21"/>
              </w:rPr>
              <w:t>厂界</w:t>
            </w:r>
          </w:p>
        </w:tc>
        <w:tc>
          <w:tcPr>
            <w:tcW w:w="708" w:type="dxa"/>
            <w:shd w:val="clear" w:color="auto" w:fill="auto"/>
            <w:vAlign w:val="center"/>
          </w:tcPr>
          <w:p>
            <w:pPr>
              <w:jc w:val="center"/>
              <w:rPr>
                <w:szCs w:val="21"/>
              </w:rPr>
            </w:pPr>
            <w:r>
              <w:rPr>
                <w:szCs w:val="21"/>
              </w:rPr>
              <w:t>—</w:t>
            </w:r>
          </w:p>
        </w:tc>
        <w:tc>
          <w:tcPr>
            <w:tcW w:w="850" w:type="dxa"/>
            <w:shd w:val="clear" w:color="auto" w:fill="auto"/>
            <w:vAlign w:val="center"/>
          </w:tcPr>
          <w:p>
            <w:pPr>
              <w:jc w:val="center"/>
              <w:rPr>
                <w:szCs w:val="21"/>
              </w:rPr>
            </w:pPr>
            <w:r>
              <w:rPr>
                <w:szCs w:val="21"/>
              </w:rPr>
              <w:t>1m</w:t>
            </w:r>
          </w:p>
        </w:tc>
        <w:tc>
          <w:tcPr>
            <w:tcW w:w="1418" w:type="dxa"/>
            <w:shd w:val="clear" w:color="auto" w:fill="auto"/>
            <w:vAlign w:val="center"/>
          </w:tcPr>
          <w:p>
            <w:pPr>
              <w:jc w:val="center"/>
              <w:rPr>
                <w:szCs w:val="21"/>
              </w:rPr>
            </w:pPr>
            <w:r>
              <w:rPr>
                <w:szCs w:val="21"/>
              </w:rPr>
              <w:t>—</w:t>
            </w:r>
          </w:p>
        </w:tc>
        <w:tc>
          <w:tcPr>
            <w:tcW w:w="2185" w:type="dxa"/>
            <w:shd w:val="clear" w:color="auto" w:fill="auto"/>
            <w:vAlign w:val="center"/>
          </w:tcPr>
          <w:p>
            <w:pPr>
              <w:jc w:val="center"/>
              <w:rPr>
                <w:szCs w:val="21"/>
              </w:rPr>
            </w:pPr>
            <w:r>
              <w:rPr>
                <w:szCs w:val="21"/>
              </w:rPr>
              <w:t xml:space="preserve">《声环境质量标准》（GB 3096-2008 </w:t>
            </w:r>
            <w:r>
              <w:rPr>
                <w:rFonts w:hint="eastAsia"/>
                <w:szCs w:val="21"/>
              </w:rPr>
              <w:t>）</w:t>
            </w:r>
            <w:r>
              <w:rPr>
                <w:szCs w:val="21"/>
              </w:rPr>
              <w:t xml:space="preserve"> 3类标准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3" w:hRule="atLeast"/>
        </w:trPr>
        <w:tc>
          <w:tcPr>
            <w:tcW w:w="678" w:type="dxa"/>
            <w:shd w:val="clear" w:color="auto" w:fill="auto"/>
            <w:vAlign w:val="center"/>
          </w:tcPr>
          <w:p>
            <w:pPr>
              <w:jc w:val="center"/>
              <w:rPr>
                <w:szCs w:val="21"/>
              </w:rPr>
            </w:pPr>
            <w:r>
              <w:rPr>
                <w:szCs w:val="21"/>
              </w:rPr>
              <w:t>水环境</w:t>
            </w:r>
          </w:p>
        </w:tc>
        <w:tc>
          <w:tcPr>
            <w:tcW w:w="2691" w:type="dxa"/>
            <w:shd w:val="clear" w:color="auto" w:fill="auto"/>
            <w:vAlign w:val="center"/>
          </w:tcPr>
          <w:p>
            <w:pPr>
              <w:jc w:val="center"/>
              <w:rPr>
                <w:szCs w:val="21"/>
              </w:rPr>
            </w:pPr>
            <w:r>
              <w:rPr>
                <w:szCs w:val="21"/>
              </w:rPr>
              <w:t>长江</w:t>
            </w:r>
          </w:p>
        </w:tc>
        <w:tc>
          <w:tcPr>
            <w:tcW w:w="708" w:type="dxa"/>
            <w:shd w:val="clear" w:color="auto" w:fill="auto"/>
            <w:vAlign w:val="center"/>
          </w:tcPr>
          <w:p>
            <w:pPr>
              <w:jc w:val="center"/>
              <w:rPr>
                <w:szCs w:val="21"/>
              </w:rPr>
            </w:pPr>
            <w:r>
              <w:rPr>
                <w:rFonts w:hint="eastAsia"/>
                <w:szCs w:val="21"/>
              </w:rPr>
              <w:t>西</w:t>
            </w:r>
          </w:p>
        </w:tc>
        <w:tc>
          <w:tcPr>
            <w:tcW w:w="850" w:type="dxa"/>
            <w:shd w:val="clear" w:color="auto" w:fill="auto"/>
            <w:vAlign w:val="center"/>
          </w:tcPr>
          <w:p>
            <w:pPr>
              <w:jc w:val="center"/>
              <w:rPr>
                <w:szCs w:val="21"/>
              </w:rPr>
            </w:pPr>
            <w:r>
              <w:rPr>
                <w:szCs w:val="21"/>
              </w:rPr>
              <w:t>3200</w:t>
            </w:r>
          </w:p>
        </w:tc>
        <w:tc>
          <w:tcPr>
            <w:tcW w:w="1418" w:type="dxa"/>
            <w:shd w:val="clear" w:color="auto" w:fill="auto"/>
            <w:vAlign w:val="center"/>
          </w:tcPr>
          <w:p>
            <w:pPr>
              <w:jc w:val="center"/>
              <w:rPr>
                <w:szCs w:val="21"/>
              </w:rPr>
            </w:pPr>
            <w:r>
              <w:rPr>
                <w:rFonts w:hint="eastAsia"/>
                <w:szCs w:val="21"/>
              </w:rPr>
              <w:t>大型河流</w:t>
            </w:r>
          </w:p>
        </w:tc>
        <w:tc>
          <w:tcPr>
            <w:tcW w:w="2185" w:type="dxa"/>
            <w:shd w:val="clear" w:color="auto" w:fill="auto"/>
            <w:vAlign w:val="center"/>
          </w:tcPr>
          <w:p>
            <w:pPr>
              <w:jc w:val="center"/>
              <w:rPr>
                <w:szCs w:val="21"/>
              </w:rPr>
            </w:pPr>
            <w:r>
              <w:rPr>
                <w:szCs w:val="21"/>
              </w:rPr>
              <w:t>《地表水环境质量标准》</w:t>
            </w:r>
            <w:r>
              <w:rPr>
                <w:rFonts w:hint="eastAsia"/>
                <w:szCs w:val="21"/>
              </w:rPr>
              <w:t>（</w:t>
            </w:r>
            <w:r>
              <w:rPr>
                <w:szCs w:val="21"/>
              </w:rPr>
              <w:t>GB 3838-2002</w:t>
            </w:r>
            <w:r>
              <w:rPr>
                <w:rFonts w:hint="eastAsia"/>
                <w:szCs w:val="21"/>
              </w:rPr>
              <w:t>）</w:t>
            </w:r>
            <w:r>
              <w:rPr>
                <w:szCs w:val="21"/>
              </w:rPr>
              <w:t xml:space="preserve"> </w:t>
            </w:r>
            <w:r>
              <w:rPr>
                <w:szCs w:val="21"/>
              </w:rPr>
              <w:fldChar w:fldCharType="begin"/>
            </w:r>
            <w:r>
              <w:rPr>
                <w:szCs w:val="21"/>
              </w:rPr>
              <w:instrText xml:space="preserve"> = 2 \* ROMAN </w:instrText>
            </w:r>
            <w:r>
              <w:rPr>
                <w:szCs w:val="21"/>
              </w:rPr>
              <w:fldChar w:fldCharType="separate"/>
            </w:r>
            <w:r>
              <w:rPr>
                <w:szCs w:val="21"/>
              </w:rPr>
              <w:t>II</w:t>
            </w:r>
            <w:r>
              <w:rPr>
                <w:szCs w:val="21"/>
              </w:rPr>
              <w:fldChar w:fldCharType="end"/>
            </w:r>
            <w:r>
              <w:rPr>
                <w:szCs w:val="21"/>
              </w:rPr>
              <w:t>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3" w:hRule="atLeast"/>
        </w:trPr>
        <w:tc>
          <w:tcPr>
            <w:tcW w:w="678" w:type="dxa"/>
            <w:shd w:val="clear" w:color="auto" w:fill="auto"/>
            <w:vAlign w:val="center"/>
          </w:tcPr>
          <w:p>
            <w:pPr>
              <w:jc w:val="center"/>
              <w:rPr>
                <w:szCs w:val="21"/>
              </w:rPr>
            </w:pPr>
            <w:r>
              <w:rPr>
                <w:rFonts w:hint="eastAsia"/>
                <w:szCs w:val="21"/>
              </w:rPr>
              <w:t>地下水</w:t>
            </w:r>
          </w:p>
        </w:tc>
        <w:tc>
          <w:tcPr>
            <w:tcW w:w="2691" w:type="dxa"/>
            <w:shd w:val="clear" w:color="auto" w:fill="auto"/>
            <w:vAlign w:val="center"/>
          </w:tcPr>
          <w:p>
            <w:pPr>
              <w:jc w:val="center"/>
              <w:rPr>
                <w:szCs w:val="21"/>
              </w:rPr>
            </w:pPr>
            <w:r>
              <w:rPr>
                <w:rFonts w:hint="eastAsia"/>
                <w:szCs w:val="21"/>
              </w:rPr>
              <w:t>区域内可供利用的地下水资源</w:t>
            </w:r>
          </w:p>
        </w:tc>
        <w:tc>
          <w:tcPr>
            <w:tcW w:w="708" w:type="dxa"/>
            <w:shd w:val="clear" w:color="auto" w:fill="auto"/>
            <w:vAlign w:val="center"/>
          </w:tcPr>
          <w:p>
            <w:pPr>
              <w:jc w:val="center"/>
              <w:rPr>
                <w:rFonts w:hint="eastAsia"/>
                <w:szCs w:val="21"/>
              </w:rPr>
            </w:pPr>
            <w:r>
              <w:rPr>
                <w:rFonts w:hint="eastAsia"/>
                <w:szCs w:val="21"/>
              </w:rPr>
              <w:t>/</w:t>
            </w:r>
          </w:p>
        </w:tc>
        <w:tc>
          <w:tcPr>
            <w:tcW w:w="850" w:type="dxa"/>
            <w:shd w:val="clear" w:color="auto" w:fill="auto"/>
            <w:vAlign w:val="center"/>
          </w:tcPr>
          <w:p>
            <w:pPr>
              <w:jc w:val="center"/>
              <w:rPr>
                <w:szCs w:val="21"/>
              </w:rPr>
            </w:pPr>
            <w:r>
              <w:rPr>
                <w:rFonts w:hint="eastAsia"/>
                <w:szCs w:val="21"/>
              </w:rPr>
              <w:t>/</w:t>
            </w:r>
          </w:p>
        </w:tc>
        <w:tc>
          <w:tcPr>
            <w:tcW w:w="1418" w:type="dxa"/>
            <w:shd w:val="clear" w:color="auto" w:fill="auto"/>
            <w:vAlign w:val="center"/>
          </w:tcPr>
          <w:p>
            <w:pPr>
              <w:jc w:val="center"/>
              <w:rPr>
                <w:rFonts w:hint="eastAsia"/>
                <w:szCs w:val="21"/>
              </w:rPr>
            </w:pPr>
            <w:r>
              <w:rPr>
                <w:rFonts w:hint="eastAsia"/>
                <w:szCs w:val="21"/>
              </w:rPr>
              <w:t>/</w:t>
            </w:r>
          </w:p>
        </w:tc>
        <w:tc>
          <w:tcPr>
            <w:tcW w:w="2185" w:type="dxa"/>
            <w:shd w:val="clear" w:color="auto" w:fill="auto"/>
            <w:vAlign w:val="center"/>
          </w:tcPr>
          <w:p>
            <w:pPr>
              <w:jc w:val="center"/>
              <w:rPr>
                <w:szCs w:val="21"/>
              </w:rPr>
            </w:pPr>
            <w:r>
              <w:rPr>
                <w:szCs w:val="21"/>
              </w:rPr>
              <w:t>《地下水质量标准》（GB/T14848—93）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3" w:hRule="atLeast"/>
        </w:trPr>
        <w:tc>
          <w:tcPr>
            <w:tcW w:w="678" w:type="dxa"/>
            <w:vMerge w:val="restart"/>
            <w:shd w:val="clear" w:color="auto" w:fill="auto"/>
            <w:vAlign w:val="center"/>
          </w:tcPr>
          <w:p>
            <w:pPr>
              <w:jc w:val="center"/>
              <w:rPr>
                <w:szCs w:val="21"/>
              </w:rPr>
            </w:pPr>
            <w:r>
              <w:rPr>
                <w:szCs w:val="21"/>
              </w:rPr>
              <w:t>生态环境</w:t>
            </w:r>
          </w:p>
        </w:tc>
        <w:tc>
          <w:tcPr>
            <w:tcW w:w="2691" w:type="dxa"/>
            <w:shd w:val="clear" w:color="auto" w:fill="auto"/>
            <w:vAlign w:val="center"/>
          </w:tcPr>
          <w:p>
            <w:pPr>
              <w:jc w:val="center"/>
              <w:rPr>
                <w:szCs w:val="21"/>
              </w:rPr>
            </w:pPr>
            <w:r>
              <w:rPr>
                <w:rFonts w:hint="eastAsia"/>
                <w:szCs w:val="21"/>
              </w:rPr>
              <w:t>三桥湿地公园</w:t>
            </w:r>
          </w:p>
        </w:tc>
        <w:tc>
          <w:tcPr>
            <w:tcW w:w="708" w:type="dxa"/>
            <w:shd w:val="clear" w:color="auto" w:fill="auto"/>
            <w:vAlign w:val="center"/>
          </w:tcPr>
          <w:p>
            <w:pPr>
              <w:jc w:val="center"/>
              <w:rPr>
                <w:szCs w:val="21"/>
              </w:rPr>
            </w:pPr>
            <w:r>
              <w:rPr>
                <w:rFonts w:hint="eastAsia"/>
                <w:szCs w:val="21"/>
              </w:rPr>
              <w:t>东北</w:t>
            </w:r>
          </w:p>
        </w:tc>
        <w:tc>
          <w:tcPr>
            <w:tcW w:w="850" w:type="dxa"/>
            <w:shd w:val="clear" w:color="auto" w:fill="auto"/>
            <w:vAlign w:val="center"/>
          </w:tcPr>
          <w:p>
            <w:pPr>
              <w:jc w:val="center"/>
              <w:rPr>
                <w:szCs w:val="21"/>
              </w:rPr>
            </w:pPr>
            <w:r>
              <w:rPr>
                <w:rFonts w:hint="eastAsia"/>
                <w:szCs w:val="21"/>
              </w:rPr>
              <w:t>3600</w:t>
            </w:r>
          </w:p>
        </w:tc>
        <w:tc>
          <w:tcPr>
            <w:tcW w:w="1418" w:type="dxa"/>
            <w:shd w:val="clear" w:color="auto" w:fill="auto"/>
            <w:vAlign w:val="center"/>
          </w:tcPr>
          <w:p>
            <w:pPr>
              <w:jc w:val="center"/>
              <w:rPr>
                <w:szCs w:val="21"/>
              </w:rPr>
            </w:pPr>
            <w:r>
              <w:rPr>
                <w:szCs w:val="21"/>
              </w:rPr>
              <w:t>—</w:t>
            </w:r>
          </w:p>
        </w:tc>
        <w:tc>
          <w:tcPr>
            <w:tcW w:w="2185" w:type="dxa"/>
            <w:shd w:val="clear" w:color="auto" w:fill="auto"/>
            <w:vAlign w:val="center"/>
          </w:tcPr>
          <w:p>
            <w:pPr>
              <w:jc w:val="center"/>
              <w:rPr>
                <w:szCs w:val="21"/>
              </w:rPr>
            </w:pPr>
            <w:r>
              <w:rPr>
                <w:rFonts w:hint="eastAsia"/>
                <w:szCs w:val="21"/>
              </w:rPr>
              <w:t>湿地生态系统保护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3" w:hRule="atLeast"/>
        </w:trPr>
        <w:tc>
          <w:tcPr>
            <w:tcW w:w="678" w:type="dxa"/>
            <w:vMerge w:val="continue"/>
            <w:shd w:val="clear" w:color="auto" w:fill="auto"/>
            <w:vAlign w:val="center"/>
          </w:tcPr>
          <w:p>
            <w:pPr>
              <w:jc w:val="center"/>
              <w:rPr>
                <w:szCs w:val="21"/>
              </w:rPr>
            </w:pPr>
          </w:p>
        </w:tc>
        <w:tc>
          <w:tcPr>
            <w:tcW w:w="2691" w:type="dxa"/>
            <w:shd w:val="clear" w:color="auto" w:fill="auto"/>
            <w:vAlign w:val="center"/>
          </w:tcPr>
          <w:p>
            <w:pPr>
              <w:jc w:val="center"/>
              <w:rPr>
                <w:szCs w:val="21"/>
              </w:rPr>
            </w:pPr>
            <w:r>
              <w:rPr>
                <w:rFonts w:hint="eastAsia"/>
                <w:szCs w:val="21"/>
              </w:rPr>
              <w:t>长江堤岸桥林段生态公益林</w:t>
            </w:r>
          </w:p>
        </w:tc>
        <w:tc>
          <w:tcPr>
            <w:tcW w:w="708" w:type="dxa"/>
            <w:shd w:val="clear" w:color="auto" w:fill="auto"/>
            <w:vAlign w:val="center"/>
          </w:tcPr>
          <w:p>
            <w:pPr>
              <w:jc w:val="center"/>
              <w:rPr>
                <w:szCs w:val="21"/>
              </w:rPr>
            </w:pPr>
            <w:r>
              <w:rPr>
                <w:rFonts w:hint="eastAsia"/>
                <w:szCs w:val="21"/>
              </w:rPr>
              <w:t>西北</w:t>
            </w:r>
          </w:p>
        </w:tc>
        <w:tc>
          <w:tcPr>
            <w:tcW w:w="850" w:type="dxa"/>
            <w:shd w:val="clear" w:color="auto" w:fill="auto"/>
            <w:vAlign w:val="center"/>
          </w:tcPr>
          <w:p>
            <w:pPr>
              <w:jc w:val="center"/>
              <w:rPr>
                <w:szCs w:val="21"/>
              </w:rPr>
            </w:pPr>
            <w:r>
              <w:rPr>
                <w:rFonts w:hint="eastAsia"/>
                <w:szCs w:val="21"/>
              </w:rPr>
              <w:t>3576</w:t>
            </w:r>
          </w:p>
        </w:tc>
        <w:tc>
          <w:tcPr>
            <w:tcW w:w="1418" w:type="dxa"/>
            <w:shd w:val="clear" w:color="auto" w:fill="auto"/>
            <w:vAlign w:val="center"/>
          </w:tcPr>
          <w:p>
            <w:pPr>
              <w:jc w:val="center"/>
              <w:rPr>
                <w:szCs w:val="21"/>
              </w:rPr>
            </w:pPr>
            <w:r>
              <w:rPr>
                <w:szCs w:val="21"/>
              </w:rPr>
              <w:t>—</w:t>
            </w:r>
          </w:p>
        </w:tc>
        <w:tc>
          <w:tcPr>
            <w:tcW w:w="2185" w:type="dxa"/>
            <w:shd w:val="clear" w:color="auto" w:fill="auto"/>
            <w:vAlign w:val="center"/>
          </w:tcPr>
          <w:p>
            <w:pPr>
              <w:jc w:val="center"/>
              <w:rPr>
                <w:szCs w:val="21"/>
              </w:rPr>
            </w:pPr>
            <w:r>
              <w:rPr>
                <w:rFonts w:hint="eastAsia"/>
                <w:szCs w:val="21"/>
              </w:rPr>
              <w:t>水土保持</w:t>
            </w:r>
          </w:p>
        </w:tc>
      </w:tr>
    </w:tbl>
    <w:p>
      <w:pPr>
        <w:pStyle w:val="3"/>
        <w:adjustRightInd w:val="0"/>
        <w:snapToGrid w:val="0"/>
        <w:spacing w:before="0" w:after="0" w:line="360" w:lineRule="auto"/>
        <w:rPr>
          <w:rFonts w:ascii="Times New Roman" w:hAnsi="Times New Roman" w:eastAsia="宋体"/>
          <w:b/>
          <w:bCs/>
          <w:sz w:val="28"/>
          <w:szCs w:val="28"/>
        </w:rPr>
      </w:pPr>
      <w:bookmarkStart w:id="61" w:name="_Toc435690385"/>
      <w:r>
        <w:rPr>
          <w:rFonts w:ascii="Times New Roman" w:hAnsi="Times New Roman" w:eastAsia="宋体"/>
          <w:b/>
          <w:bCs/>
          <w:sz w:val="28"/>
          <w:szCs w:val="28"/>
        </w:rPr>
        <w:t>1.5 评价标准</w:t>
      </w:r>
      <w:bookmarkEnd w:id="61"/>
    </w:p>
    <w:p>
      <w:pPr>
        <w:pStyle w:val="4"/>
        <w:adjustRightInd w:val="0"/>
        <w:snapToGrid w:val="0"/>
        <w:spacing w:before="0" w:after="0" w:line="360" w:lineRule="auto"/>
        <w:rPr>
          <w:bCs w:val="0"/>
          <w:sz w:val="24"/>
          <w:szCs w:val="24"/>
        </w:rPr>
      </w:pPr>
      <w:bookmarkStart w:id="62" w:name="_Toc435690386"/>
      <w:bookmarkStart w:id="63" w:name="_Toc150455528"/>
      <w:r>
        <w:rPr>
          <w:rFonts w:hint="eastAsia"/>
          <w:bCs w:val="0"/>
          <w:sz w:val="24"/>
          <w:szCs w:val="24"/>
        </w:rPr>
        <w:t>1.5.1</w:t>
      </w:r>
      <w:r>
        <w:rPr>
          <w:bCs w:val="0"/>
          <w:sz w:val="24"/>
          <w:szCs w:val="24"/>
        </w:rPr>
        <w:t>环境空气质量标准和大气污染物排放标准</w:t>
      </w:r>
      <w:bookmarkEnd w:id="62"/>
    </w:p>
    <w:p>
      <w:pPr>
        <w:snapToGrid w:val="0"/>
        <w:spacing w:line="360" w:lineRule="auto"/>
        <w:ind w:firstLine="480" w:firstLineChars="200"/>
        <w:rPr>
          <w:sz w:val="24"/>
        </w:rPr>
      </w:pPr>
      <w:r>
        <w:rPr>
          <w:sz w:val="24"/>
        </w:rPr>
        <w:t>（1）环境空气质量标准</w:t>
      </w:r>
    </w:p>
    <w:p>
      <w:pPr>
        <w:snapToGrid w:val="0"/>
        <w:spacing w:line="360" w:lineRule="auto"/>
        <w:ind w:firstLine="480" w:firstLineChars="200"/>
        <w:rPr>
          <w:sz w:val="24"/>
        </w:rPr>
      </w:pPr>
      <w:r>
        <w:rPr>
          <w:sz w:val="24"/>
        </w:rPr>
        <w:t>项目位于环境空气质量二类功能区，SO</w:t>
      </w:r>
      <w:r>
        <w:rPr>
          <w:sz w:val="24"/>
          <w:vertAlign w:val="subscript"/>
        </w:rPr>
        <w:t>2</w:t>
      </w:r>
      <w:r>
        <w:rPr>
          <w:sz w:val="24"/>
        </w:rPr>
        <w:t>、NO</w:t>
      </w:r>
      <w:r>
        <w:rPr>
          <w:sz w:val="24"/>
          <w:vertAlign w:val="subscript"/>
        </w:rPr>
        <w:t>2</w:t>
      </w:r>
      <w:r>
        <w:rPr>
          <w:sz w:val="24"/>
        </w:rPr>
        <w:t>、PM</w:t>
      </w:r>
      <w:r>
        <w:rPr>
          <w:sz w:val="24"/>
          <w:vertAlign w:val="subscript"/>
        </w:rPr>
        <w:t>10</w:t>
      </w:r>
      <w:r>
        <w:rPr>
          <w:sz w:val="24"/>
        </w:rPr>
        <w:t>、CO执行《环境空气质量标准》（GB3095-2012）中的二级标准，具体见表</w:t>
      </w:r>
      <w:r>
        <w:rPr>
          <w:rFonts w:hint="eastAsia"/>
          <w:sz w:val="24"/>
        </w:rPr>
        <w:t>1.5-1</w:t>
      </w:r>
      <w:r>
        <w:rPr>
          <w:sz w:val="24"/>
        </w:rPr>
        <w:t>。</w:t>
      </w:r>
    </w:p>
    <w:p>
      <w:pPr>
        <w:adjustRightInd w:val="0"/>
        <w:snapToGrid w:val="0"/>
        <w:ind w:firstLine="422" w:firstLineChars="200"/>
        <w:jc w:val="center"/>
        <w:rPr>
          <w:b/>
        </w:rPr>
      </w:pPr>
      <w:r>
        <w:rPr>
          <w:b/>
        </w:rPr>
        <w:t>表</w:t>
      </w:r>
      <w:r>
        <w:rPr>
          <w:rFonts w:hint="eastAsia"/>
          <w:b/>
        </w:rPr>
        <w:t>1.5-1</w:t>
      </w:r>
      <w:r>
        <w:rPr>
          <w:b/>
        </w:rPr>
        <w:t xml:space="preserve">  环境空气质量标准主要指标值</w:t>
      </w:r>
    </w:p>
    <w:tbl>
      <w:tblPr>
        <w:tblStyle w:val="59"/>
        <w:tblW w:w="85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6"/>
        <w:gridCol w:w="1869"/>
        <w:gridCol w:w="1272"/>
        <w:gridCol w:w="1168"/>
        <w:gridCol w:w="28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06" w:hRule="atLeast"/>
          <w:tblHeader/>
          <w:jc w:val="center"/>
        </w:trPr>
        <w:tc>
          <w:tcPr>
            <w:tcW w:w="1406"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污染物名称</w:t>
            </w:r>
          </w:p>
        </w:tc>
        <w:tc>
          <w:tcPr>
            <w:tcW w:w="186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取值时间</w:t>
            </w:r>
          </w:p>
        </w:tc>
        <w:tc>
          <w:tcPr>
            <w:tcW w:w="1272"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单位</w:t>
            </w:r>
          </w:p>
        </w:tc>
        <w:tc>
          <w:tcPr>
            <w:tcW w:w="116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浓度限值</w:t>
            </w:r>
          </w:p>
        </w:tc>
        <w:tc>
          <w:tcPr>
            <w:tcW w:w="2813"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32" w:hRule="atLeast"/>
          <w:jc w:val="center"/>
        </w:trPr>
        <w:tc>
          <w:tcPr>
            <w:tcW w:w="1406" w:type="dxa"/>
            <w:vMerge w:val="restart"/>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SO</w:t>
            </w:r>
            <w:r>
              <w:rPr>
                <w:rFonts w:ascii="Times New Roman" w:hAnsi="Times New Roman" w:eastAsia="宋体"/>
                <w:sz w:val="21"/>
                <w:szCs w:val="21"/>
                <w:vertAlign w:val="subscript"/>
                <w:lang w:val="en-US" w:eastAsia="zh-CN"/>
              </w:rPr>
              <w:t>2</w:t>
            </w:r>
          </w:p>
        </w:tc>
        <w:tc>
          <w:tcPr>
            <w:tcW w:w="186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年平均</w:t>
            </w:r>
          </w:p>
        </w:tc>
        <w:tc>
          <w:tcPr>
            <w:tcW w:w="1272" w:type="dxa"/>
            <w:vMerge w:val="restart"/>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μg/m</w:t>
            </w:r>
            <w:r>
              <w:rPr>
                <w:rFonts w:ascii="Times New Roman" w:hAnsi="Times New Roman" w:eastAsia="宋体"/>
                <w:sz w:val="21"/>
                <w:szCs w:val="21"/>
                <w:vertAlign w:val="superscript"/>
                <w:lang w:val="en-US" w:eastAsia="zh-CN"/>
              </w:rPr>
              <w:t>3</w:t>
            </w:r>
          </w:p>
        </w:tc>
        <w:tc>
          <w:tcPr>
            <w:tcW w:w="116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60</w:t>
            </w:r>
          </w:p>
        </w:tc>
        <w:tc>
          <w:tcPr>
            <w:tcW w:w="2813" w:type="dxa"/>
            <w:vMerge w:val="restart"/>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《环境空气质量标准》(GB3095-2012)的二级标准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32" w:hRule="atLeast"/>
          <w:jc w:val="center"/>
        </w:trPr>
        <w:tc>
          <w:tcPr>
            <w:tcW w:w="1406" w:type="dxa"/>
            <w:vMerge w:val="continue"/>
            <w:vAlign w:val="center"/>
          </w:tcPr>
          <w:p>
            <w:pPr>
              <w:pStyle w:val="70"/>
              <w:rPr>
                <w:rFonts w:ascii="Times New Roman" w:hAnsi="Times New Roman" w:eastAsia="宋体"/>
                <w:sz w:val="21"/>
                <w:szCs w:val="21"/>
                <w:lang w:val="en-US" w:eastAsia="zh-CN"/>
              </w:rPr>
            </w:pPr>
          </w:p>
        </w:tc>
        <w:tc>
          <w:tcPr>
            <w:tcW w:w="186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24小时平均</w:t>
            </w:r>
          </w:p>
        </w:tc>
        <w:tc>
          <w:tcPr>
            <w:tcW w:w="1272" w:type="dxa"/>
            <w:vMerge w:val="continue"/>
            <w:vAlign w:val="center"/>
          </w:tcPr>
          <w:p>
            <w:pPr>
              <w:pStyle w:val="70"/>
              <w:rPr>
                <w:rFonts w:ascii="Times New Roman" w:hAnsi="Times New Roman" w:eastAsia="宋体"/>
                <w:sz w:val="21"/>
                <w:szCs w:val="21"/>
                <w:lang w:val="en-US" w:eastAsia="zh-CN"/>
              </w:rPr>
            </w:pPr>
          </w:p>
        </w:tc>
        <w:tc>
          <w:tcPr>
            <w:tcW w:w="116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150</w:t>
            </w:r>
          </w:p>
        </w:tc>
        <w:tc>
          <w:tcPr>
            <w:tcW w:w="2813" w:type="dxa"/>
            <w:vMerge w:val="continue"/>
            <w:vAlign w:val="center"/>
          </w:tcPr>
          <w:p>
            <w:pPr>
              <w:pStyle w:val="70"/>
              <w:rPr>
                <w:rFonts w:ascii="Times New Roman" w:hAnsi="Times New Roman" w:eastAsia="宋体"/>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32" w:hRule="atLeast"/>
          <w:jc w:val="center"/>
        </w:trPr>
        <w:tc>
          <w:tcPr>
            <w:tcW w:w="1406" w:type="dxa"/>
            <w:vMerge w:val="continue"/>
            <w:vAlign w:val="center"/>
          </w:tcPr>
          <w:p>
            <w:pPr>
              <w:pStyle w:val="70"/>
              <w:rPr>
                <w:rFonts w:ascii="Times New Roman" w:hAnsi="Times New Roman" w:eastAsia="宋体"/>
                <w:sz w:val="21"/>
                <w:szCs w:val="21"/>
                <w:lang w:val="en-US" w:eastAsia="zh-CN"/>
              </w:rPr>
            </w:pPr>
          </w:p>
        </w:tc>
        <w:tc>
          <w:tcPr>
            <w:tcW w:w="186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1小时平均</w:t>
            </w:r>
          </w:p>
        </w:tc>
        <w:tc>
          <w:tcPr>
            <w:tcW w:w="1272" w:type="dxa"/>
            <w:vMerge w:val="continue"/>
            <w:vAlign w:val="center"/>
          </w:tcPr>
          <w:p>
            <w:pPr>
              <w:pStyle w:val="70"/>
              <w:rPr>
                <w:rFonts w:ascii="Times New Roman" w:hAnsi="Times New Roman" w:eastAsia="宋体"/>
                <w:sz w:val="21"/>
                <w:szCs w:val="21"/>
                <w:lang w:val="en-US" w:eastAsia="zh-CN"/>
              </w:rPr>
            </w:pPr>
          </w:p>
        </w:tc>
        <w:tc>
          <w:tcPr>
            <w:tcW w:w="116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500</w:t>
            </w:r>
          </w:p>
        </w:tc>
        <w:tc>
          <w:tcPr>
            <w:tcW w:w="2813" w:type="dxa"/>
            <w:vMerge w:val="continue"/>
            <w:vAlign w:val="center"/>
          </w:tcPr>
          <w:p>
            <w:pPr>
              <w:pStyle w:val="70"/>
              <w:rPr>
                <w:rFonts w:ascii="Times New Roman" w:hAnsi="Times New Roman" w:eastAsia="宋体"/>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32" w:hRule="atLeast"/>
          <w:jc w:val="center"/>
        </w:trPr>
        <w:tc>
          <w:tcPr>
            <w:tcW w:w="1406" w:type="dxa"/>
            <w:vMerge w:val="restart"/>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NO</w:t>
            </w:r>
            <w:r>
              <w:rPr>
                <w:rFonts w:ascii="Times New Roman" w:hAnsi="Times New Roman" w:eastAsia="宋体"/>
                <w:sz w:val="21"/>
                <w:szCs w:val="21"/>
                <w:vertAlign w:val="subscript"/>
                <w:lang w:val="en-US" w:eastAsia="zh-CN"/>
              </w:rPr>
              <w:t>2</w:t>
            </w:r>
          </w:p>
        </w:tc>
        <w:tc>
          <w:tcPr>
            <w:tcW w:w="186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年平均</w:t>
            </w:r>
          </w:p>
        </w:tc>
        <w:tc>
          <w:tcPr>
            <w:tcW w:w="1272" w:type="dxa"/>
            <w:vMerge w:val="continue"/>
            <w:vAlign w:val="center"/>
          </w:tcPr>
          <w:p>
            <w:pPr>
              <w:pStyle w:val="70"/>
              <w:rPr>
                <w:rFonts w:ascii="Times New Roman" w:hAnsi="Times New Roman" w:eastAsia="宋体"/>
                <w:sz w:val="21"/>
                <w:szCs w:val="21"/>
                <w:lang w:val="en-US" w:eastAsia="zh-CN"/>
              </w:rPr>
            </w:pPr>
          </w:p>
        </w:tc>
        <w:tc>
          <w:tcPr>
            <w:tcW w:w="116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40</w:t>
            </w:r>
          </w:p>
        </w:tc>
        <w:tc>
          <w:tcPr>
            <w:tcW w:w="2813" w:type="dxa"/>
            <w:vMerge w:val="continue"/>
            <w:vAlign w:val="center"/>
          </w:tcPr>
          <w:p>
            <w:pPr>
              <w:pStyle w:val="70"/>
              <w:rPr>
                <w:rFonts w:ascii="Times New Roman" w:hAnsi="Times New Roman" w:eastAsia="宋体"/>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32" w:hRule="atLeast"/>
          <w:jc w:val="center"/>
        </w:trPr>
        <w:tc>
          <w:tcPr>
            <w:tcW w:w="1406" w:type="dxa"/>
            <w:vMerge w:val="continue"/>
            <w:vAlign w:val="center"/>
          </w:tcPr>
          <w:p>
            <w:pPr>
              <w:pStyle w:val="70"/>
              <w:rPr>
                <w:rFonts w:ascii="Times New Roman" w:hAnsi="Times New Roman" w:eastAsia="宋体"/>
                <w:sz w:val="21"/>
                <w:szCs w:val="21"/>
                <w:lang w:val="en-US" w:eastAsia="zh-CN"/>
              </w:rPr>
            </w:pPr>
          </w:p>
        </w:tc>
        <w:tc>
          <w:tcPr>
            <w:tcW w:w="186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24小时平均</w:t>
            </w:r>
          </w:p>
        </w:tc>
        <w:tc>
          <w:tcPr>
            <w:tcW w:w="1272" w:type="dxa"/>
            <w:vMerge w:val="continue"/>
            <w:vAlign w:val="center"/>
          </w:tcPr>
          <w:p>
            <w:pPr>
              <w:pStyle w:val="70"/>
              <w:rPr>
                <w:rFonts w:ascii="Times New Roman" w:hAnsi="Times New Roman" w:eastAsia="宋体"/>
                <w:sz w:val="21"/>
                <w:szCs w:val="21"/>
                <w:lang w:val="en-US" w:eastAsia="zh-CN"/>
              </w:rPr>
            </w:pPr>
          </w:p>
        </w:tc>
        <w:tc>
          <w:tcPr>
            <w:tcW w:w="116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80</w:t>
            </w:r>
          </w:p>
        </w:tc>
        <w:tc>
          <w:tcPr>
            <w:tcW w:w="2813" w:type="dxa"/>
            <w:vMerge w:val="continue"/>
            <w:vAlign w:val="center"/>
          </w:tcPr>
          <w:p>
            <w:pPr>
              <w:pStyle w:val="70"/>
              <w:rPr>
                <w:rFonts w:ascii="Times New Roman" w:hAnsi="Times New Roman" w:eastAsia="宋体"/>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32" w:hRule="atLeast"/>
          <w:jc w:val="center"/>
        </w:trPr>
        <w:tc>
          <w:tcPr>
            <w:tcW w:w="1406" w:type="dxa"/>
            <w:vMerge w:val="continue"/>
            <w:vAlign w:val="center"/>
          </w:tcPr>
          <w:p>
            <w:pPr>
              <w:pStyle w:val="70"/>
              <w:rPr>
                <w:rFonts w:ascii="Times New Roman" w:hAnsi="Times New Roman" w:eastAsia="宋体"/>
                <w:sz w:val="21"/>
                <w:szCs w:val="21"/>
                <w:lang w:val="en-US" w:eastAsia="zh-CN"/>
              </w:rPr>
            </w:pPr>
          </w:p>
        </w:tc>
        <w:tc>
          <w:tcPr>
            <w:tcW w:w="186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1小时平均</w:t>
            </w:r>
          </w:p>
        </w:tc>
        <w:tc>
          <w:tcPr>
            <w:tcW w:w="1272" w:type="dxa"/>
            <w:vMerge w:val="continue"/>
            <w:vAlign w:val="center"/>
          </w:tcPr>
          <w:p>
            <w:pPr>
              <w:pStyle w:val="70"/>
              <w:rPr>
                <w:rFonts w:ascii="Times New Roman" w:hAnsi="Times New Roman" w:eastAsia="宋体"/>
                <w:sz w:val="21"/>
                <w:szCs w:val="21"/>
                <w:lang w:val="en-US" w:eastAsia="zh-CN"/>
              </w:rPr>
            </w:pPr>
          </w:p>
        </w:tc>
        <w:tc>
          <w:tcPr>
            <w:tcW w:w="116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200</w:t>
            </w:r>
          </w:p>
        </w:tc>
        <w:tc>
          <w:tcPr>
            <w:tcW w:w="2813" w:type="dxa"/>
            <w:vMerge w:val="continue"/>
            <w:vAlign w:val="center"/>
          </w:tcPr>
          <w:p>
            <w:pPr>
              <w:pStyle w:val="70"/>
              <w:rPr>
                <w:rFonts w:ascii="Times New Roman" w:hAnsi="Times New Roman" w:eastAsia="宋体"/>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32" w:hRule="atLeast"/>
          <w:jc w:val="center"/>
        </w:trPr>
        <w:tc>
          <w:tcPr>
            <w:tcW w:w="1406" w:type="dxa"/>
            <w:vMerge w:val="restart"/>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PM</w:t>
            </w:r>
            <w:r>
              <w:rPr>
                <w:rFonts w:ascii="Times New Roman" w:hAnsi="Times New Roman" w:eastAsia="宋体"/>
                <w:sz w:val="21"/>
                <w:szCs w:val="21"/>
                <w:vertAlign w:val="subscript"/>
                <w:lang w:val="en-US" w:eastAsia="zh-CN"/>
              </w:rPr>
              <w:t>10</w:t>
            </w:r>
          </w:p>
        </w:tc>
        <w:tc>
          <w:tcPr>
            <w:tcW w:w="186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年平均</w:t>
            </w:r>
          </w:p>
        </w:tc>
        <w:tc>
          <w:tcPr>
            <w:tcW w:w="1272" w:type="dxa"/>
            <w:vMerge w:val="continue"/>
            <w:vAlign w:val="center"/>
          </w:tcPr>
          <w:p>
            <w:pPr>
              <w:pStyle w:val="70"/>
              <w:rPr>
                <w:rFonts w:ascii="Times New Roman" w:hAnsi="Times New Roman" w:eastAsia="宋体"/>
                <w:sz w:val="21"/>
                <w:szCs w:val="21"/>
                <w:lang w:val="en-US" w:eastAsia="zh-CN"/>
              </w:rPr>
            </w:pPr>
          </w:p>
        </w:tc>
        <w:tc>
          <w:tcPr>
            <w:tcW w:w="116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70</w:t>
            </w:r>
          </w:p>
        </w:tc>
        <w:tc>
          <w:tcPr>
            <w:tcW w:w="2813" w:type="dxa"/>
            <w:vMerge w:val="continue"/>
            <w:vAlign w:val="center"/>
          </w:tcPr>
          <w:p>
            <w:pPr>
              <w:pStyle w:val="70"/>
              <w:rPr>
                <w:rFonts w:ascii="Times New Roman" w:hAnsi="Times New Roman" w:eastAsia="宋体"/>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32" w:hRule="atLeast"/>
          <w:jc w:val="center"/>
        </w:trPr>
        <w:tc>
          <w:tcPr>
            <w:tcW w:w="1406" w:type="dxa"/>
            <w:vMerge w:val="continue"/>
            <w:vAlign w:val="center"/>
          </w:tcPr>
          <w:p>
            <w:pPr>
              <w:pStyle w:val="70"/>
              <w:rPr>
                <w:rFonts w:ascii="Times New Roman" w:hAnsi="Times New Roman" w:eastAsia="宋体"/>
                <w:sz w:val="21"/>
                <w:szCs w:val="21"/>
                <w:lang w:val="en-US" w:eastAsia="zh-CN"/>
              </w:rPr>
            </w:pPr>
          </w:p>
        </w:tc>
        <w:tc>
          <w:tcPr>
            <w:tcW w:w="186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24小时平均</w:t>
            </w:r>
          </w:p>
        </w:tc>
        <w:tc>
          <w:tcPr>
            <w:tcW w:w="1272" w:type="dxa"/>
            <w:vMerge w:val="continue"/>
            <w:vAlign w:val="center"/>
          </w:tcPr>
          <w:p>
            <w:pPr>
              <w:pStyle w:val="70"/>
              <w:rPr>
                <w:rFonts w:ascii="Times New Roman" w:hAnsi="Times New Roman" w:eastAsia="宋体"/>
                <w:sz w:val="21"/>
                <w:szCs w:val="21"/>
                <w:lang w:val="en-US" w:eastAsia="zh-CN"/>
              </w:rPr>
            </w:pPr>
          </w:p>
        </w:tc>
        <w:tc>
          <w:tcPr>
            <w:tcW w:w="116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150</w:t>
            </w:r>
          </w:p>
        </w:tc>
        <w:tc>
          <w:tcPr>
            <w:tcW w:w="2813" w:type="dxa"/>
            <w:vMerge w:val="continue"/>
            <w:vAlign w:val="center"/>
          </w:tcPr>
          <w:p>
            <w:pPr>
              <w:pStyle w:val="70"/>
              <w:rPr>
                <w:rFonts w:ascii="Times New Roman" w:hAnsi="Times New Roman" w:eastAsia="宋体"/>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32" w:hRule="atLeast"/>
          <w:jc w:val="center"/>
        </w:trPr>
        <w:tc>
          <w:tcPr>
            <w:tcW w:w="1406" w:type="dxa"/>
            <w:vMerge w:val="restart"/>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CO</w:t>
            </w:r>
          </w:p>
        </w:tc>
        <w:tc>
          <w:tcPr>
            <w:tcW w:w="186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24小时平均</w:t>
            </w:r>
          </w:p>
        </w:tc>
        <w:tc>
          <w:tcPr>
            <w:tcW w:w="1272" w:type="dxa"/>
            <w:vMerge w:val="restart"/>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mg/m</w:t>
            </w:r>
            <w:r>
              <w:rPr>
                <w:rFonts w:ascii="Times New Roman" w:hAnsi="Times New Roman" w:eastAsia="宋体"/>
                <w:sz w:val="21"/>
                <w:szCs w:val="21"/>
                <w:vertAlign w:val="superscript"/>
                <w:lang w:val="en-US" w:eastAsia="zh-CN"/>
              </w:rPr>
              <w:t>3</w:t>
            </w:r>
          </w:p>
        </w:tc>
        <w:tc>
          <w:tcPr>
            <w:tcW w:w="116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4</w:t>
            </w:r>
          </w:p>
        </w:tc>
        <w:tc>
          <w:tcPr>
            <w:tcW w:w="2813" w:type="dxa"/>
            <w:vMerge w:val="continue"/>
            <w:vAlign w:val="center"/>
          </w:tcPr>
          <w:p>
            <w:pPr>
              <w:pStyle w:val="70"/>
              <w:rPr>
                <w:rFonts w:ascii="Times New Roman" w:hAnsi="Times New Roman" w:eastAsia="宋体"/>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32" w:hRule="atLeast"/>
          <w:jc w:val="center"/>
        </w:trPr>
        <w:tc>
          <w:tcPr>
            <w:tcW w:w="1406" w:type="dxa"/>
            <w:vMerge w:val="continue"/>
            <w:vAlign w:val="center"/>
          </w:tcPr>
          <w:p>
            <w:pPr>
              <w:pStyle w:val="70"/>
              <w:rPr>
                <w:rFonts w:ascii="Times New Roman" w:hAnsi="Times New Roman" w:eastAsia="宋体"/>
                <w:sz w:val="21"/>
                <w:szCs w:val="21"/>
                <w:lang w:val="en-US" w:eastAsia="zh-CN"/>
              </w:rPr>
            </w:pPr>
          </w:p>
        </w:tc>
        <w:tc>
          <w:tcPr>
            <w:tcW w:w="186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1小时平均</w:t>
            </w:r>
          </w:p>
        </w:tc>
        <w:tc>
          <w:tcPr>
            <w:tcW w:w="1272" w:type="dxa"/>
            <w:vMerge w:val="continue"/>
            <w:vAlign w:val="center"/>
          </w:tcPr>
          <w:p>
            <w:pPr>
              <w:pStyle w:val="70"/>
              <w:rPr>
                <w:rFonts w:ascii="Times New Roman" w:hAnsi="Times New Roman" w:eastAsia="宋体"/>
                <w:sz w:val="21"/>
                <w:szCs w:val="21"/>
                <w:lang w:val="en-US" w:eastAsia="zh-CN"/>
              </w:rPr>
            </w:pPr>
          </w:p>
        </w:tc>
        <w:tc>
          <w:tcPr>
            <w:tcW w:w="116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10</w:t>
            </w:r>
          </w:p>
        </w:tc>
        <w:tc>
          <w:tcPr>
            <w:tcW w:w="2813" w:type="dxa"/>
            <w:vMerge w:val="continue"/>
            <w:vAlign w:val="center"/>
          </w:tcPr>
          <w:p>
            <w:pPr>
              <w:pStyle w:val="70"/>
              <w:rPr>
                <w:rFonts w:ascii="Times New Roman" w:hAnsi="Times New Roman" w:eastAsia="宋体"/>
                <w:sz w:val="21"/>
                <w:szCs w:val="21"/>
                <w:lang w:val="en-US" w:eastAsia="zh-CN"/>
              </w:rPr>
            </w:pPr>
          </w:p>
        </w:tc>
      </w:tr>
    </w:tbl>
    <w:p>
      <w:pPr>
        <w:snapToGrid w:val="0"/>
        <w:spacing w:line="360" w:lineRule="auto"/>
        <w:ind w:firstLine="480" w:firstLineChars="200"/>
        <w:rPr>
          <w:sz w:val="24"/>
        </w:rPr>
      </w:pPr>
      <w:r>
        <w:rPr>
          <w:sz w:val="24"/>
        </w:rPr>
        <w:t>（2）大气污染物排放标准</w:t>
      </w:r>
    </w:p>
    <w:p>
      <w:pPr>
        <w:adjustRightInd w:val="0"/>
        <w:snapToGrid w:val="0"/>
        <w:spacing w:line="360" w:lineRule="auto"/>
        <w:ind w:firstLine="480" w:firstLineChars="200"/>
        <w:rPr>
          <w:sz w:val="24"/>
        </w:rPr>
      </w:pPr>
      <w:r>
        <w:rPr>
          <w:rFonts w:hint="eastAsia"/>
          <w:sz w:val="24"/>
        </w:rPr>
        <w:t>建设项目货物</w:t>
      </w:r>
      <w:r>
        <w:rPr>
          <w:sz w:val="24"/>
        </w:rPr>
        <w:t>运输车辆及起重转运设备尾气中的NO</w:t>
      </w:r>
      <w:r>
        <w:rPr>
          <w:sz w:val="24"/>
          <w:vertAlign w:val="subscript"/>
        </w:rPr>
        <w:t>x</w:t>
      </w:r>
      <w:r>
        <w:rPr>
          <w:sz w:val="24"/>
        </w:rPr>
        <w:t>排放标准参照执行《大气污染物综合排放标准》（GB 16297-1996）表3中厂界无组织排放监控浓度限值，而尾气中的CO排放标准则参照工作场所有害因素职业接触限值(GBZ 2.1-2007)中的允许浓度，详见表</w:t>
      </w:r>
      <w:r>
        <w:rPr>
          <w:rFonts w:hint="eastAsia"/>
          <w:sz w:val="24"/>
        </w:rPr>
        <w:t>1.5-2</w:t>
      </w:r>
      <w:r>
        <w:rPr>
          <w:sz w:val="24"/>
        </w:rPr>
        <w:t>。</w:t>
      </w:r>
    </w:p>
    <w:p>
      <w:pPr>
        <w:adjustRightInd w:val="0"/>
        <w:snapToGrid w:val="0"/>
        <w:ind w:firstLine="422" w:firstLineChars="200"/>
        <w:jc w:val="center"/>
        <w:rPr>
          <w:b/>
        </w:rPr>
      </w:pPr>
      <w:r>
        <w:rPr>
          <w:b/>
        </w:rPr>
        <w:t>表</w:t>
      </w:r>
      <w:r>
        <w:rPr>
          <w:rFonts w:hint="eastAsia"/>
          <w:b/>
        </w:rPr>
        <w:t>1.5-2</w:t>
      </w:r>
      <w:r>
        <w:rPr>
          <w:b/>
        </w:rPr>
        <w:t xml:space="preserve">  车辆尾气排放标准主要指标值</w:t>
      </w:r>
    </w:p>
    <w:tbl>
      <w:tblPr>
        <w:tblStyle w:val="59"/>
        <w:tblW w:w="85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9"/>
        <w:gridCol w:w="2407"/>
        <w:gridCol w:w="1721"/>
        <w:gridCol w:w="2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0" w:hRule="atLeast"/>
        </w:trPr>
        <w:tc>
          <w:tcPr>
            <w:tcW w:w="143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污染物</w:t>
            </w:r>
          </w:p>
        </w:tc>
        <w:tc>
          <w:tcPr>
            <w:tcW w:w="2407"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标准类型</w:t>
            </w:r>
          </w:p>
        </w:tc>
        <w:tc>
          <w:tcPr>
            <w:tcW w:w="1721"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浓度限值（mg/m</w:t>
            </w:r>
            <w:r>
              <w:rPr>
                <w:rFonts w:ascii="Times New Roman" w:hAnsi="Times New Roman" w:eastAsia="宋体"/>
                <w:sz w:val="21"/>
                <w:szCs w:val="21"/>
                <w:vertAlign w:val="superscript"/>
                <w:lang w:val="en-US" w:eastAsia="zh-CN"/>
              </w:rPr>
              <w:t>3</w:t>
            </w:r>
            <w:r>
              <w:rPr>
                <w:rFonts w:ascii="Times New Roman" w:hAnsi="Times New Roman" w:eastAsia="宋体"/>
                <w:sz w:val="21"/>
                <w:szCs w:val="21"/>
                <w:lang w:val="en-US" w:eastAsia="zh-CN"/>
              </w:rPr>
              <w:t>）</w:t>
            </w:r>
          </w:p>
        </w:tc>
        <w:tc>
          <w:tcPr>
            <w:tcW w:w="2961"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7" w:hRule="atLeast"/>
        </w:trPr>
        <w:tc>
          <w:tcPr>
            <w:tcW w:w="143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NO</w:t>
            </w:r>
            <w:r>
              <w:rPr>
                <w:rFonts w:ascii="Times New Roman" w:hAnsi="Times New Roman" w:eastAsia="宋体"/>
                <w:sz w:val="21"/>
                <w:szCs w:val="21"/>
                <w:vertAlign w:val="subscript"/>
                <w:lang w:val="en-US" w:eastAsia="zh-CN"/>
              </w:rPr>
              <w:t>x</w:t>
            </w:r>
          </w:p>
        </w:tc>
        <w:tc>
          <w:tcPr>
            <w:tcW w:w="2407"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无组织排放监控浓度限值</w:t>
            </w:r>
          </w:p>
        </w:tc>
        <w:tc>
          <w:tcPr>
            <w:tcW w:w="1721"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0.12</w:t>
            </w:r>
          </w:p>
        </w:tc>
        <w:tc>
          <w:tcPr>
            <w:tcW w:w="2961"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《大气污染物综合排放标准》</w:t>
            </w:r>
          </w:p>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（GB 16297-1996）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3" w:hRule="atLeast"/>
        </w:trPr>
        <w:tc>
          <w:tcPr>
            <w:tcW w:w="143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CO</w:t>
            </w:r>
          </w:p>
        </w:tc>
        <w:tc>
          <w:tcPr>
            <w:tcW w:w="2407" w:type="dxa"/>
            <w:vAlign w:val="center"/>
          </w:tcPr>
          <w:p>
            <w:pPr>
              <w:adjustRightInd w:val="0"/>
              <w:snapToGrid w:val="0"/>
              <w:jc w:val="center"/>
              <w:rPr>
                <w:bCs/>
                <w:kern w:val="0"/>
                <w:szCs w:val="21"/>
              </w:rPr>
            </w:pPr>
            <w:r>
              <w:rPr>
                <w:bCs/>
                <w:kern w:val="0"/>
                <w:szCs w:val="21"/>
              </w:rPr>
              <w:t>短时间接触容许浓度</w:t>
            </w:r>
          </w:p>
        </w:tc>
        <w:tc>
          <w:tcPr>
            <w:tcW w:w="1721" w:type="dxa"/>
            <w:vAlign w:val="center"/>
          </w:tcPr>
          <w:p>
            <w:pPr>
              <w:adjustRightInd w:val="0"/>
              <w:snapToGrid w:val="0"/>
              <w:jc w:val="center"/>
              <w:rPr>
                <w:bCs/>
                <w:kern w:val="0"/>
                <w:szCs w:val="21"/>
              </w:rPr>
            </w:pPr>
            <w:r>
              <w:rPr>
                <w:bCs/>
                <w:kern w:val="0"/>
                <w:szCs w:val="21"/>
              </w:rPr>
              <w:t>30</w:t>
            </w:r>
          </w:p>
        </w:tc>
        <w:tc>
          <w:tcPr>
            <w:tcW w:w="2961" w:type="dxa"/>
            <w:vAlign w:val="center"/>
          </w:tcPr>
          <w:p>
            <w:pPr>
              <w:adjustRightInd w:val="0"/>
              <w:snapToGrid w:val="0"/>
              <w:jc w:val="center"/>
              <w:rPr>
                <w:bCs/>
                <w:kern w:val="0"/>
                <w:szCs w:val="21"/>
              </w:rPr>
            </w:pPr>
            <w:r>
              <w:rPr>
                <w:szCs w:val="21"/>
              </w:rPr>
              <w:t>工作场所有害因素职业接触限值(GBZ 2.1-2007)</w:t>
            </w:r>
          </w:p>
        </w:tc>
      </w:tr>
    </w:tbl>
    <w:p>
      <w:pPr>
        <w:adjustRightInd w:val="0"/>
        <w:snapToGrid w:val="0"/>
        <w:spacing w:line="360" w:lineRule="auto"/>
        <w:rPr>
          <w:rFonts w:hint="eastAsia"/>
          <w:sz w:val="24"/>
        </w:rPr>
      </w:pPr>
    </w:p>
    <w:p>
      <w:pPr>
        <w:pStyle w:val="4"/>
        <w:adjustRightInd w:val="0"/>
        <w:snapToGrid w:val="0"/>
        <w:spacing w:before="0" w:after="0" w:line="360" w:lineRule="auto"/>
        <w:rPr>
          <w:bCs w:val="0"/>
          <w:sz w:val="24"/>
          <w:szCs w:val="24"/>
        </w:rPr>
      </w:pPr>
      <w:bookmarkStart w:id="64" w:name="_Toc435690387"/>
      <w:r>
        <w:rPr>
          <w:rFonts w:hint="eastAsia"/>
          <w:bCs w:val="0"/>
          <w:sz w:val="24"/>
          <w:szCs w:val="24"/>
        </w:rPr>
        <w:t>1.5.2</w:t>
      </w:r>
      <w:r>
        <w:rPr>
          <w:bCs w:val="0"/>
          <w:sz w:val="24"/>
          <w:szCs w:val="24"/>
        </w:rPr>
        <w:t>地表水环境质量标准和废水排放标准</w:t>
      </w:r>
      <w:bookmarkEnd w:id="64"/>
    </w:p>
    <w:p>
      <w:pPr>
        <w:adjustRightInd w:val="0"/>
        <w:snapToGrid w:val="0"/>
        <w:spacing w:line="360" w:lineRule="auto"/>
        <w:ind w:firstLine="480" w:firstLineChars="200"/>
        <w:rPr>
          <w:sz w:val="24"/>
        </w:rPr>
      </w:pPr>
      <w:r>
        <w:rPr>
          <w:sz w:val="24"/>
        </w:rPr>
        <w:t>（1）地表水环境质量标准</w:t>
      </w:r>
    </w:p>
    <w:p>
      <w:pPr>
        <w:adjustRightInd w:val="0"/>
        <w:snapToGrid w:val="0"/>
        <w:spacing w:line="360" w:lineRule="auto"/>
        <w:ind w:firstLine="480" w:firstLineChars="200"/>
        <w:rPr>
          <w:sz w:val="24"/>
        </w:rPr>
      </w:pPr>
      <w:r>
        <w:rPr>
          <w:sz w:val="24"/>
        </w:rPr>
        <w:t>本项目废水经市政污水管网接管城南污水处理厂处理，城南污水处理厂排放尾水进入长江，根据《江苏省地表水（环境）功能区划》，长江南京段地表水水质执行《地表水环境质量标准》（GB 3838-2002）</w:t>
      </w:r>
      <w:r>
        <w:rPr>
          <w:sz w:val="24"/>
        </w:rPr>
        <w:fldChar w:fldCharType="begin"/>
      </w:r>
      <w:r>
        <w:rPr>
          <w:sz w:val="24"/>
        </w:rPr>
        <w:instrText xml:space="preserve"> = 2 \* ROMAN </w:instrText>
      </w:r>
      <w:r>
        <w:rPr>
          <w:sz w:val="24"/>
        </w:rPr>
        <w:fldChar w:fldCharType="separate"/>
      </w:r>
      <w:r>
        <w:rPr>
          <w:sz w:val="24"/>
          <w:lang w:val="zh-CN" w:eastAsia="zh-CN"/>
        </w:rPr>
        <w:t>II</w:t>
      </w:r>
      <w:r>
        <w:rPr>
          <w:sz w:val="24"/>
        </w:rPr>
        <w:fldChar w:fldCharType="end"/>
      </w:r>
      <w:r>
        <w:rPr>
          <w:sz w:val="24"/>
        </w:rPr>
        <w:t>类标准。具体标准值见表</w:t>
      </w:r>
      <w:r>
        <w:rPr>
          <w:rFonts w:hint="eastAsia"/>
          <w:sz w:val="24"/>
        </w:rPr>
        <w:t>1.5-3</w:t>
      </w:r>
      <w:r>
        <w:rPr>
          <w:sz w:val="24"/>
        </w:rPr>
        <w:t>。</w:t>
      </w:r>
    </w:p>
    <w:p>
      <w:pPr>
        <w:adjustRightInd w:val="0"/>
        <w:snapToGrid w:val="0"/>
        <w:ind w:firstLine="422" w:firstLineChars="200"/>
        <w:jc w:val="center"/>
        <w:rPr>
          <w:b/>
        </w:rPr>
      </w:pPr>
      <w:r>
        <w:rPr>
          <w:b/>
        </w:rPr>
        <w:t>表</w:t>
      </w:r>
      <w:r>
        <w:rPr>
          <w:rFonts w:hint="eastAsia"/>
          <w:b/>
        </w:rPr>
        <w:t>1.5-3</w:t>
      </w:r>
      <w:r>
        <w:rPr>
          <w:b/>
        </w:rPr>
        <w:t xml:space="preserve">  地表水环境质量标准主要指标值  （单位：mg/L，pH无量纲）</w:t>
      </w:r>
    </w:p>
    <w:tbl>
      <w:tblPr>
        <w:tblStyle w:val="59"/>
        <w:tblW w:w="85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4"/>
        <w:gridCol w:w="1158"/>
        <w:gridCol w:w="1175"/>
        <w:gridCol w:w="1175"/>
        <w:gridCol w:w="1344"/>
        <w:gridCol w:w="1177"/>
        <w:gridCol w:w="1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1" w:hRule="atLeast"/>
        </w:trPr>
        <w:tc>
          <w:tcPr>
            <w:tcW w:w="1324"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项目</w:t>
            </w:r>
          </w:p>
        </w:tc>
        <w:tc>
          <w:tcPr>
            <w:tcW w:w="11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pH</w:t>
            </w:r>
          </w:p>
        </w:tc>
        <w:tc>
          <w:tcPr>
            <w:tcW w:w="1175"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COD</w:t>
            </w:r>
          </w:p>
        </w:tc>
        <w:tc>
          <w:tcPr>
            <w:tcW w:w="1175"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SS*</w:t>
            </w:r>
          </w:p>
        </w:tc>
        <w:tc>
          <w:tcPr>
            <w:tcW w:w="134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NH</w:t>
            </w:r>
            <w:r>
              <w:rPr>
                <w:rFonts w:ascii="Times New Roman" w:hAnsi="Times New Roman" w:eastAsia="宋体"/>
                <w:sz w:val="21"/>
                <w:szCs w:val="21"/>
                <w:vertAlign w:val="subscript"/>
                <w:lang w:val="en-US" w:eastAsia="zh-CN"/>
              </w:rPr>
              <w:t>3</w:t>
            </w:r>
            <w:r>
              <w:rPr>
                <w:rFonts w:ascii="Times New Roman" w:hAnsi="Times New Roman" w:eastAsia="宋体"/>
                <w:sz w:val="21"/>
                <w:szCs w:val="21"/>
                <w:lang w:val="en-US" w:eastAsia="zh-CN"/>
              </w:rPr>
              <w:t>-N</w:t>
            </w:r>
          </w:p>
        </w:tc>
        <w:tc>
          <w:tcPr>
            <w:tcW w:w="1177"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TP</w:t>
            </w:r>
          </w:p>
        </w:tc>
        <w:tc>
          <w:tcPr>
            <w:tcW w:w="1175" w:type="dxa"/>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8" w:hRule="atLeast"/>
        </w:trPr>
        <w:tc>
          <w:tcPr>
            <w:tcW w:w="1324"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II类</w:t>
            </w:r>
          </w:p>
        </w:tc>
        <w:tc>
          <w:tcPr>
            <w:tcW w:w="11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6~9</w:t>
            </w:r>
          </w:p>
        </w:tc>
        <w:tc>
          <w:tcPr>
            <w:tcW w:w="1175"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15</w:t>
            </w:r>
          </w:p>
        </w:tc>
        <w:tc>
          <w:tcPr>
            <w:tcW w:w="1175"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25</w:t>
            </w:r>
          </w:p>
        </w:tc>
        <w:tc>
          <w:tcPr>
            <w:tcW w:w="134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0.5</w:t>
            </w:r>
          </w:p>
        </w:tc>
        <w:tc>
          <w:tcPr>
            <w:tcW w:w="1177"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0.1</w:t>
            </w:r>
          </w:p>
        </w:tc>
        <w:tc>
          <w:tcPr>
            <w:tcW w:w="1175" w:type="dxa"/>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0.5</w:t>
            </w:r>
          </w:p>
        </w:tc>
      </w:tr>
    </w:tbl>
    <w:p>
      <w:pPr>
        <w:snapToGrid w:val="0"/>
        <w:spacing w:line="360" w:lineRule="auto"/>
        <w:rPr>
          <w:sz w:val="22"/>
        </w:rPr>
      </w:pPr>
      <w:r>
        <w:rPr>
          <w:sz w:val="22"/>
        </w:rPr>
        <w:t>*注：SS采用水利部试用《地表水资源质量标准》（SL 63-94）相应标准。</w:t>
      </w:r>
    </w:p>
    <w:p>
      <w:pPr>
        <w:adjustRightInd w:val="0"/>
        <w:snapToGrid w:val="0"/>
        <w:spacing w:line="360" w:lineRule="auto"/>
        <w:ind w:firstLine="480" w:firstLineChars="200"/>
        <w:rPr>
          <w:sz w:val="24"/>
        </w:rPr>
      </w:pPr>
      <w:r>
        <w:rPr>
          <w:sz w:val="24"/>
        </w:rPr>
        <w:t>（2）废水排放标准</w:t>
      </w:r>
    </w:p>
    <w:p>
      <w:pPr>
        <w:adjustRightInd w:val="0"/>
        <w:snapToGrid w:val="0"/>
        <w:spacing w:line="360" w:lineRule="auto"/>
        <w:ind w:firstLine="480" w:firstLineChars="200"/>
        <w:rPr>
          <w:sz w:val="24"/>
        </w:rPr>
      </w:pPr>
      <w:r>
        <w:rPr>
          <w:sz w:val="24"/>
        </w:rPr>
        <w:t>本项目废水主要为生活污水，水质简单易降解，经预处理后达到《污水排入城市下水道水质标准》（CJ 343-2010）中B等级标准，接入市政污水管网，排入城南污水处理厂处理。城南污水处理厂尾水排放执行《城镇污水处理厂污染物排放标准》（GB18918-2002）中一级A标准，具体标准值见表</w:t>
      </w:r>
      <w:r>
        <w:rPr>
          <w:rFonts w:hint="eastAsia"/>
          <w:sz w:val="24"/>
        </w:rPr>
        <w:t>1.5-4</w:t>
      </w:r>
      <w:r>
        <w:rPr>
          <w:sz w:val="24"/>
        </w:rPr>
        <w:t>。</w:t>
      </w:r>
    </w:p>
    <w:p>
      <w:pPr>
        <w:adjustRightInd w:val="0"/>
        <w:snapToGrid w:val="0"/>
        <w:ind w:firstLine="422" w:firstLineChars="200"/>
        <w:jc w:val="center"/>
        <w:rPr>
          <w:b/>
        </w:rPr>
      </w:pPr>
      <w:r>
        <w:rPr>
          <w:b/>
        </w:rPr>
        <w:t>表</w:t>
      </w:r>
      <w:r>
        <w:rPr>
          <w:rFonts w:hint="eastAsia"/>
          <w:b/>
        </w:rPr>
        <w:t>1.5-4</w:t>
      </w:r>
      <w:r>
        <w:rPr>
          <w:b/>
        </w:rPr>
        <w:t xml:space="preserve">  废水污染物排放标准主要指标值  （单位：mg/L，pH无量纲）</w:t>
      </w:r>
    </w:p>
    <w:tbl>
      <w:tblPr>
        <w:tblStyle w:val="59"/>
        <w:tblW w:w="8322" w:type="dxa"/>
        <w:jc w:val="center"/>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366"/>
        <w:gridCol w:w="950"/>
        <w:gridCol w:w="950"/>
        <w:gridCol w:w="950"/>
        <w:gridCol w:w="950"/>
        <w:gridCol w:w="1062"/>
        <w:gridCol w:w="1047"/>
        <w:gridCol w:w="10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15" w:hRule="atLeast"/>
          <w:jc w:val="center"/>
        </w:trPr>
        <w:tc>
          <w:tcPr>
            <w:tcW w:w="1366"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项 目</w:t>
            </w:r>
          </w:p>
        </w:tc>
        <w:tc>
          <w:tcPr>
            <w:tcW w:w="950"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pH</w:t>
            </w:r>
          </w:p>
        </w:tc>
        <w:tc>
          <w:tcPr>
            <w:tcW w:w="950"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COD</w:t>
            </w:r>
          </w:p>
        </w:tc>
        <w:tc>
          <w:tcPr>
            <w:tcW w:w="950"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SS</w:t>
            </w:r>
          </w:p>
        </w:tc>
        <w:tc>
          <w:tcPr>
            <w:tcW w:w="950"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氨氮</w:t>
            </w:r>
          </w:p>
        </w:tc>
        <w:tc>
          <w:tcPr>
            <w:tcW w:w="1062"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总磷</w:t>
            </w:r>
          </w:p>
        </w:tc>
        <w:tc>
          <w:tcPr>
            <w:tcW w:w="1047"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动植物油</w:t>
            </w:r>
          </w:p>
        </w:tc>
        <w:tc>
          <w:tcPr>
            <w:tcW w:w="1047" w:type="dxa"/>
            <w:vAlign w:val="center"/>
          </w:tcPr>
          <w:p>
            <w:pPr>
              <w:pStyle w:val="33"/>
              <w:adjustRightInd w:val="0"/>
              <w:snapToGrid w:val="0"/>
              <w:spacing w:after="0" w:line="240" w:lineRule="auto"/>
              <w:ind w:left="0" w:leftChars="0"/>
              <w:jc w:val="center"/>
              <w:rPr>
                <w:szCs w:val="21"/>
                <w:lang w:val="en-US" w:eastAsia="zh-CN"/>
              </w:rPr>
            </w:pPr>
            <w:r>
              <w:rPr>
                <w:rFonts w:hint="eastAsia"/>
                <w:szCs w:val="21"/>
                <w:lang w:val="en-US" w:eastAsia="zh-CN"/>
              </w:rPr>
              <w:t>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253" w:hRule="atLeast"/>
          <w:jc w:val="center"/>
        </w:trPr>
        <w:tc>
          <w:tcPr>
            <w:tcW w:w="1366"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接管标准</w:t>
            </w:r>
          </w:p>
        </w:tc>
        <w:tc>
          <w:tcPr>
            <w:tcW w:w="950"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6~9</w:t>
            </w:r>
          </w:p>
        </w:tc>
        <w:tc>
          <w:tcPr>
            <w:tcW w:w="950"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500</w:t>
            </w:r>
          </w:p>
        </w:tc>
        <w:tc>
          <w:tcPr>
            <w:tcW w:w="950"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400</w:t>
            </w:r>
          </w:p>
        </w:tc>
        <w:tc>
          <w:tcPr>
            <w:tcW w:w="950"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45</w:t>
            </w:r>
          </w:p>
        </w:tc>
        <w:tc>
          <w:tcPr>
            <w:tcW w:w="1062"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8</w:t>
            </w:r>
          </w:p>
        </w:tc>
        <w:tc>
          <w:tcPr>
            <w:tcW w:w="1047"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100</w:t>
            </w:r>
          </w:p>
        </w:tc>
        <w:tc>
          <w:tcPr>
            <w:tcW w:w="1047" w:type="dxa"/>
            <w:vAlign w:val="center"/>
          </w:tcPr>
          <w:p>
            <w:pPr>
              <w:pStyle w:val="33"/>
              <w:adjustRightInd w:val="0"/>
              <w:snapToGrid w:val="0"/>
              <w:spacing w:after="0" w:line="240" w:lineRule="auto"/>
              <w:ind w:left="0" w:leftChars="0"/>
              <w:jc w:val="center"/>
              <w:rPr>
                <w:szCs w:val="21"/>
                <w:lang w:val="en-US" w:eastAsia="zh-CN"/>
              </w:rPr>
            </w:pPr>
            <w:r>
              <w:rPr>
                <w:rFonts w:hint="eastAsia"/>
                <w:szCs w:val="21"/>
                <w:lang w:val="en-US" w:eastAsia="zh-CN"/>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315" w:hRule="atLeast"/>
          <w:jc w:val="center"/>
        </w:trPr>
        <w:tc>
          <w:tcPr>
            <w:tcW w:w="1366"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排放标准</w:t>
            </w:r>
          </w:p>
        </w:tc>
        <w:tc>
          <w:tcPr>
            <w:tcW w:w="950"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6-9</w:t>
            </w:r>
          </w:p>
        </w:tc>
        <w:tc>
          <w:tcPr>
            <w:tcW w:w="950"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50</w:t>
            </w:r>
          </w:p>
        </w:tc>
        <w:tc>
          <w:tcPr>
            <w:tcW w:w="950"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10</w:t>
            </w:r>
          </w:p>
        </w:tc>
        <w:tc>
          <w:tcPr>
            <w:tcW w:w="950"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5（8）</w:t>
            </w:r>
          </w:p>
        </w:tc>
        <w:tc>
          <w:tcPr>
            <w:tcW w:w="1062"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0.5</w:t>
            </w:r>
          </w:p>
        </w:tc>
        <w:tc>
          <w:tcPr>
            <w:tcW w:w="1047"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1</w:t>
            </w:r>
          </w:p>
        </w:tc>
        <w:tc>
          <w:tcPr>
            <w:tcW w:w="1047" w:type="dxa"/>
            <w:vAlign w:val="center"/>
          </w:tcPr>
          <w:p>
            <w:pPr>
              <w:pStyle w:val="33"/>
              <w:adjustRightInd w:val="0"/>
              <w:snapToGrid w:val="0"/>
              <w:spacing w:after="0" w:line="240" w:lineRule="auto"/>
              <w:ind w:left="0" w:leftChars="0"/>
              <w:jc w:val="center"/>
              <w:rPr>
                <w:szCs w:val="21"/>
                <w:lang w:val="en-US" w:eastAsia="zh-CN"/>
              </w:rPr>
            </w:pPr>
            <w:r>
              <w:rPr>
                <w:rFonts w:hint="eastAsia"/>
                <w:szCs w:val="21"/>
                <w:lang w:val="en-US" w:eastAsia="zh-CN"/>
              </w:rPr>
              <w:t>15</w:t>
            </w:r>
          </w:p>
        </w:tc>
      </w:tr>
    </w:tbl>
    <w:p>
      <w:pPr>
        <w:pStyle w:val="33"/>
        <w:adjustRightInd w:val="0"/>
        <w:snapToGrid w:val="0"/>
        <w:spacing w:line="240" w:lineRule="auto"/>
        <w:ind w:left="0" w:leftChars="0"/>
        <w:jc w:val="left"/>
        <w:rPr>
          <w:szCs w:val="21"/>
        </w:rPr>
      </w:pPr>
      <w:r>
        <w:rPr>
          <w:szCs w:val="21"/>
        </w:rPr>
        <w:t>注：括号外数值为水温&gt;12度时的控制指标，括号内数值为水温≤12度时的控制指标。</w:t>
      </w:r>
    </w:p>
    <w:p>
      <w:pPr>
        <w:snapToGrid w:val="0"/>
        <w:spacing w:line="360" w:lineRule="auto"/>
        <w:rPr>
          <w:rFonts w:hint="eastAsia"/>
          <w:sz w:val="24"/>
        </w:rPr>
      </w:pPr>
    </w:p>
    <w:p>
      <w:pPr>
        <w:pStyle w:val="4"/>
        <w:adjustRightInd w:val="0"/>
        <w:snapToGrid w:val="0"/>
        <w:spacing w:before="0" w:after="0" w:line="360" w:lineRule="auto"/>
        <w:rPr>
          <w:bCs w:val="0"/>
          <w:sz w:val="24"/>
          <w:szCs w:val="24"/>
        </w:rPr>
      </w:pPr>
      <w:bookmarkStart w:id="65" w:name="_Toc435690388"/>
      <w:r>
        <w:rPr>
          <w:rFonts w:hint="eastAsia"/>
          <w:bCs w:val="0"/>
          <w:sz w:val="24"/>
          <w:szCs w:val="24"/>
        </w:rPr>
        <w:t>1.5.3</w:t>
      </w:r>
      <w:r>
        <w:rPr>
          <w:bCs w:val="0"/>
          <w:sz w:val="24"/>
          <w:szCs w:val="24"/>
        </w:rPr>
        <w:t>声环境质量标准和噪声排放标准</w:t>
      </w:r>
      <w:bookmarkEnd w:id="65"/>
    </w:p>
    <w:p>
      <w:pPr>
        <w:snapToGrid w:val="0"/>
        <w:spacing w:line="360" w:lineRule="auto"/>
        <w:ind w:firstLine="480" w:firstLineChars="200"/>
        <w:rPr>
          <w:sz w:val="24"/>
        </w:rPr>
      </w:pPr>
      <w:r>
        <w:rPr>
          <w:sz w:val="24"/>
        </w:rPr>
        <w:t>（1）声环境质量标准</w:t>
      </w:r>
    </w:p>
    <w:p>
      <w:pPr>
        <w:adjustRightInd w:val="0"/>
        <w:snapToGrid w:val="0"/>
        <w:spacing w:line="360" w:lineRule="auto"/>
        <w:ind w:firstLine="480" w:firstLineChars="200"/>
        <w:rPr>
          <w:sz w:val="24"/>
        </w:rPr>
      </w:pPr>
      <w:r>
        <w:rPr>
          <w:sz w:val="24"/>
        </w:rPr>
        <w:t>根据</w:t>
      </w:r>
      <w:r>
        <w:rPr>
          <w:color w:val="000000"/>
          <w:sz w:val="24"/>
        </w:rPr>
        <w:t>根据《声环境质量标准》（GB3096-2008）、《城市区域环境噪声适用区划分规范》（GB/T15190-94）和</w:t>
      </w:r>
      <w:r>
        <w:rPr>
          <w:sz w:val="24"/>
        </w:rPr>
        <w:t>市政府关于批转市环保局《南京市声环境功能区划分调整方案》的通知</w:t>
      </w:r>
      <w:r>
        <w:rPr>
          <w:color w:val="000000"/>
          <w:sz w:val="24"/>
        </w:rPr>
        <w:t>（</w:t>
      </w:r>
      <w:r>
        <w:rPr>
          <w:sz w:val="24"/>
        </w:rPr>
        <w:t>宁政发[2014]34号</w:t>
      </w:r>
      <w:r>
        <w:rPr>
          <w:color w:val="000000"/>
          <w:sz w:val="24"/>
        </w:rPr>
        <w:t>）的有关规定</w:t>
      </w:r>
      <w:r>
        <w:rPr>
          <w:sz w:val="24"/>
        </w:rPr>
        <w:t>，本项目处于</w:t>
      </w:r>
      <w:r>
        <w:rPr>
          <w:rFonts w:hint="eastAsia"/>
          <w:sz w:val="24"/>
        </w:rPr>
        <w:t>3</w:t>
      </w:r>
      <w:r>
        <w:rPr>
          <w:sz w:val="24"/>
        </w:rPr>
        <w:t>类声环境功能区，</w:t>
      </w:r>
      <w:r>
        <w:rPr>
          <w:rFonts w:hint="eastAsia"/>
          <w:sz w:val="24"/>
        </w:rPr>
        <w:t>项目东、西、南三侧</w:t>
      </w:r>
      <w:r>
        <w:rPr>
          <w:sz w:val="24"/>
        </w:rPr>
        <w:t>执行</w:t>
      </w:r>
      <w:r>
        <w:rPr>
          <w:rFonts w:hint="eastAsia"/>
          <w:sz w:val="24"/>
        </w:rPr>
        <w:t>3</w:t>
      </w:r>
      <w:r>
        <w:rPr>
          <w:sz w:val="24"/>
        </w:rPr>
        <w:t>类标准。项目北侧的龙藏大道为城市主</w:t>
      </w:r>
      <w:r>
        <w:rPr>
          <w:rFonts w:hint="eastAsia"/>
          <w:sz w:val="24"/>
        </w:rPr>
        <w:t>干道</w:t>
      </w:r>
      <w:r>
        <w:rPr>
          <w:sz w:val="24"/>
        </w:rPr>
        <w:t>，则地块</w:t>
      </w:r>
      <w:r>
        <w:rPr>
          <w:rFonts w:hint="eastAsia"/>
          <w:sz w:val="24"/>
        </w:rPr>
        <w:t>北</w:t>
      </w:r>
      <w:r>
        <w:rPr>
          <w:sz w:val="24"/>
        </w:rPr>
        <w:t>侧为执行4a类标准。详见表</w:t>
      </w:r>
      <w:r>
        <w:rPr>
          <w:rFonts w:hint="eastAsia"/>
          <w:sz w:val="24"/>
        </w:rPr>
        <w:t>1.5-5</w:t>
      </w:r>
      <w:r>
        <w:rPr>
          <w:sz w:val="24"/>
        </w:rPr>
        <w:t>。</w:t>
      </w:r>
    </w:p>
    <w:p>
      <w:pPr>
        <w:adjustRightInd w:val="0"/>
        <w:snapToGrid w:val="0"/>
        <w:ind w:firstLine="422" w:firstLineChars="200"/>
        <w:jc w:val="center"/>
        <w:rPr>
          <w:b/>
        </w:rPr>
      </w:pPr>
      <w:r>
        <w:rPr>
          <w:b/>
        </w:rPr>
        <w:t>表</w:t>
      </w:r>
      <w:r>
        <w:rPr>
          <w:rFonts w:hint="eastAsia"/>
          <w:b/>
        </w:rPr>
        <w:t>1.5-5</w:t>
      </w:r>
      <w:r>
        <w:rPr>
          <w:b/>
        </w:rPr>
        <w:t xml:space="preserve">  声环境质量标准主要指标值  （单位：dB(A)）</w:t>
      </w:r>
    </w:p>
    <w:tbl>
      <w:tblPr>
        <w:tblStyle w:val="59"/>
        <w:tblW w:w="85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1"/>
        <w:gridCol w:w="2463"/>
        <w:gridCol w:w="2463"/>
        <w:gridCol w:w="24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3" w:hRule="atLeast"/>
          <w:jc w:val="center"/>
        </w:trPr>
        <w:tc>
          <w:tcPr>
            <w:tcW w:w="1141" w:type="dxa"/>
            <w:vAlign w:val="center"/>
          </w:tcPr>
          <w:p>
            <w:pPr>
              <w:ind w:firstLine="200"/>
              <w:jc w:val="center"/>
              <w:rPr>
                <w:bCs/>
                <w:szCs w:val="21"/>
              </w:rPr>
            </w:pPr>
            <w:r>
              <w:rPr>
                <w:bCs/>
                <w:szCs w:val="21"/>
              </w:rPr>
              <w:t>类别</w:t>
            </w:r>
          </w:p>
        </w:tc>
        <w:tc>
          <w:tcPr>
            <w:tcW w:w="2463" w:type="dxa"/>
            <w:vAlign w:val="center"/>
          </w:tcPr>
          <w:p>
            <w:pPr>
              <w:ind w:firstLine="200"/>
              <w:jc w:val="center"/>
              <w:rPr>
                <w:bCs/>
                <w:szCs w:val="21"/>
              </w:rPr>
            </w:pPr>
            <w:r>
              <w:rPr>
                <w:bCs/>
                <w:szCs w:val="21"/>
              </w:rPr>
              <w:t>昼间</w:t>
            </w:r>
          </w:p>
        </w:tc>
        <w:tc>
          <w:tcPr>
            <w:tcW w:w="2463" w:type="dxa"/>
            <w:vAlign w:val="center"/>
          </w:tcPr>
          <w:p>
            <w:pPr>
              <w:ind w:firstLine="200"/>
              <w:jc w:val="center"/>
              <w:rPr>
                <w:bCs/>
                <w:szCs w:val="21"/>
              </w:rPr>
            </w:pPr>
            <w:r>
              <w:rPr>
                <w:bCs/>
                <w:szCs w:val="21"/>
              </w:rPr>
              <w:t>夜间</w:t>
            </w:r>
          </w:p>
        </w:tc>
        <w:tc>
          <w:tcPr>
            <w:tcW w:w="2461" w:type="dxa"/>
            <w:vAlign w:val="center"/>
          </w:tcPr>
          <w:p>
            <w:pPr>
              <w:jc w:val="center"/>
              <w:rPr>
                <w:bCs/>
                <w:szCs w:val="21"/>
              </w:rPr>
            </w:pPr>
            <w:r>
              <w:rPr>
                <w:bCs/>
                <w:szCs w:val="21"/>
              </w:rPr>
              <w:t>适用区域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2" w:hRule="atLeast"/>
          <w:jc w:val="center"/>
        </w:trPr>
        <w:tc>
          <w:tcPr>
            <w:tcW w:w="1141" w:type="dxa"/>
            <w:vAlign w:val="center"/>
          </w:tcPr>
          <w:p>
            <w:pPr>
              <w:ind w:firstLine="200"/>
              <w:jc w:val="center"/>
              <w:rPr>
                <w:bCs/>
                <w:szCs w:val="21"/>
              </w:rPr>
            </w:pPr>
            <w:r>
              <w:rPr>
                <w:rFonts w:hint="eastAsia"/>
                <w:bCs/>
                <w:szCs w:val="21"/>
              </w:rPr>
              <w:t>3</w:t>
            </w:r>
          </w:p>
        </w:tc>
        <w:tc>
          <w:tcPr>
            <w:tcW w:w="2463" w:type="dxa"/>
            <w:vAlign w:val="center"/>
          </w:tcPr>
          <w:p>
            <w:pPr>
              <w:ind w:firstLine="200"/>
              <w:jc w:val="center"/>
              <w:rPr>
                <w:bCs/>
                <w:szCs w:val="21"/>
              </w:rPr>
            </w:pPr>
            <w:r>
              <w:rPr>
                <w:bCs/>
                <w:szCs w:val="21"/>
              </w:rPr>
              <w:t>6</w:t>
            </w:r>
            <w:r>
              <w:rPr>
                <w:rFonts w:hint="eastAsia"/>
                <w:bCs/>
                <w:szCs w:val="21"/>
              </w:rPr>
              <w:t>5</w:t>
            </w:r>
          </w:p>
        </w:tc>
        <w:tc>
          <w:tcPr>
            <w:tcW w:w="2463" w:type="dxa"/>
            <w:vAlign w:val="center"/>
          </w:tcPr>
          <w:p>
            <w:pPr>
              <w:ind w:firstLine="200"/>
              <w:jc w:val="center"/>
              <w:rPr>
                <w:bCs/>
                <w:szCs w:val="21"/>
              </w:rPr>
            </w:pPr>
            <w:r>
              <w:rPr>
                <w:bCs/>
                <w:szCs w:val="21"/>
              </w:rPr>
              <w:t>5</w:t>
            </w:r>
            <w:r>
              <w:rPr>
                <w:rFonts w:hint="eastAsia"/>
                <w:bCs/>
                <w:szCs w:val="21"/>
              </w:rPr>
              <w:t>5</w:t>
            </w:r>
          </w:p>
        </w:tc>
        <w:tc>
          <w:tcPr>
            <w:tcW w:w="2461" w:type="dxa"/>
            <w:vAlign w:val="center"/>
          </w:tcPr>
          <w:p>
            <w:pPr>
              <w:jc w:val="center"/>
              <w:rPr>
                <w:bCs/>
                <w:szCs w:val="21"/>
              </w:rPr>
            </w:pPr>
            <w:r>
              <w:rPr>
                <w:bCs/>
                <w:szCs w:val="21"/>
              </w:rPr>
              <w:t>其余厂界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2" w:hRule="atLeast"/>
          <w:jc w:val="center"/>
        </w:trPr>
        <w:tc>
          <w:tcPr>
            <w:tcW w:w="1141" w:type="dxa"/>
            <w:vAlign w:val="center"/>
          </w:tcPr>
          <w:p>
            <w:pPr>
              <w:ind w:firstLine="200"/>
              <w:jc w:val="center"/>
              <w:rPr>
                <w:bCs/>
                <w:szCs w:val="21"/>
              </w:rPr>
            </w:pPr>
            <w:r>
              <w:rPr>
                <w:bCs/>
                <w:szCs w:val="21"/>
              </w:rPr>
              <w:t>4a</w:t>
            </w:r>
          </w:p>
        </w:tc>
        <w:tc>
          <w:tcPr>
            <w:tcW w:w="2463" w:type="dxa"/>
            <w:vAlign w:val="center"/>
          </w:tcPr>
          <w:p>
            <w:pPr>
              <w:ind w:firstLine="200"/>
              <w:jc w:val="center"/>
              <w:rPr>
                <w:bCs/>
                <w:szCs w:val="21"/>
              </w:rPr>
            </w:pPr>
            <w:r>
              <w:rPr>
                <w:bCs/>
                <w:szCs w:val="21"/>
              </w:rPr>
              <w:t>70</w:t>
            </w:r>
          </w:p>
        </w:tc>
        <w:tc>
          <w:tcPr>
            <w:tcW w:w="2463" w:type="dxa"/>
            <w:vAlign w:val="center"/>
          </w:tcPr>
          <w:p>
            <w:pPr>
              <w:ind w:firstLine="200"/>
              <w:jc w:val="center"/>
              <w:rPr>
                <w:bCs/>
                <w:szCs w:val="21"/>
              </w:rPr>
            </w:pPr>
            <w:r>
              <w:rPr>
                <w:bCs/>
                <w:szCs w:val="21"/>
              </w:rPr>
              <w:t>55</w:t>
            </w:r>
          </w:p>
        </w:tc>
        <w:tc>
          <w:tcPr>
            <w:tcW w:w="2461" w:type="dxa"/>
            <w:vAlign w:val="center"/>
          </w:tcPr>
          <w:p>
            <w:pPr>
              <w:jc w:val="center"/>
              <w:rPr>
                <w:bCs/>
                <w:szCs w:val="21"/>
              </w:rPr>
            </w:pPr>
            <w:r>
              <w:rPr>
                <w:bCs/>
                <w:szCs w:val="21"/>
              </w:rPr>
              <w:t>北侧厂界</w:t>
            </w:r>
          </w:p>
        </w:tc>
      </w:tr>
    </w:tbl>
    <w:p>
      <w:pPr>
        <w:snapToGrid w:val="0"/>
        <w:spacing w:line="360" w:lineRule="auto"/>
        <w:ind w:firstLine="480" w:firstLineChars="200"/>
        <w:rPr>
          <w:sz w:val="24"/>
        </w:rPr>
      </w:pPr>
    </w:p>
    <w:p>
      <w:pPr>
        <w:snapToGrid w:val="0"/>
        <w:spacing w:line="360" w:lineRule="auto"/>
        <w:ind w:firstLine="480" w:firstLineChars="200"/>
        <w:rPr>
          <w:sz w:val="24"/>
        </w:rPr>
      </w:pPr>
      <w:r>
        <w:rPr>
          <w:sz w:val="24"/>
        </w:rPr>
        <w:t>（2）噪声排放标准</w:t>
      </w:r>
    </w:p>
    <w:p>
      <w:pPr>
        <w:adjustRightInd w:val="0"/>
        <w:snapToGrid w:val="0"/>
        <w:spacing w:line="360" w:lineRule="auto"/>
        <w:ind w:firstLine="480" w:firstLineChars="200"/>
        <w:rPr>
          <w:sz w:val="24"/>
        </w:rPr>
      </w:pPr>
      <w:r>
        <w:rPr>
          <w:sz w:val="24"/>
        </w:rPr>
        <w:t>施工期噪声执行《建筑施工场界环境噪声排放标准》（GB 12523-2011）中相关规定限值；运营期边界噪声执行《工业企业厂界环境噪声排放标准》（GB12348-2008）中</w:t>
      </w:r>
      <w:r>
        <w:rPr>
          <w:rFonts w:hint="eastAsia"/>
          <w:sz w:val="24"/>
        </w:rPr>
        <w:t>3</w:t>
      </w:r>
      <w:r>
        <w:rPr>
          <w:sz w:val="24"/>
        </w:rPr>
        <w:t>类、4类排放标准。详见表</w:t>
      </w:r>
      <w:r>
        <w:rPr>
          <w:rFonts w:hint="eastAsia"/>
          <w:sz w:val="24"/>
        </w:rPr>
        <w:t>1.5-6</w:t>
      </w:r>
      <w:r>
        <w:rPr>
          <w:sz w:val="24"/>
        </w:rPr>
        <w:t>和表</w:t>
      </w:r>
      <w:r>
        <w:rPr>
          <w:rFonts w:hint="eastAsia"/>
          <w:sz w:val="24"/>
        </w:rPr>
        <w:t>1.5-7</w:t>
      </w:r>
      <w:r>
        <w:rPr>
          <w:sz w:val="24"/>
        </w:rPr>
        <w:t>。</w:t>
      </w:r>
    </w:p>
    <w:p>
      <w:pPr>
        <w:adjustRightInd w:val="0"/>
        <w:snapToGrid w:val="0"/>
        <w:ind w:firstLine="422" w:firstLineChars="200"/>
        <w:jc w:val="center"/>
        <w:rPr>
          <w:b/>
        </w:rPr>
      </w:pPr>
      <w:r>
        <w:rPr>
          <w:b/>
        </w:rPr>
        <w:t>表</w:t>
      </w:r>
      <w:r>
        <w:rPr>
          <w:rFonts w:hint="eastAsia"/>
          <w:b/>
        </w:rPr>
        <w:t>1.5-6</w:t>
      </w:r>
      <w:r>
        <w:rPr>
          <w:b/>
        </w:rPr>
        <w:t xml:space="preserve"> 建筑施工场界环境噪声排放标准  （单位：Leq[dB(A)]）</w:t>
      </w:r>
    </w:p>
    <w:tbl>
      <w:tblPr>
        <w:tblStyle w:val="59"/>
        <w:tblW w:w="8528" w:type="dxa"/>
        <w:jc w:val="center"/>
        <w:tblInd w:w="0" w:type="dxa"/>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Layout w:type="fixed"/>
        <w:tblCellMar>
          <w:top w:w="0" w:type="dxa"/>
          <w:left w:w="108" w:type="dxa"/>
          <w:bottom w:w="0" w:type="dxa"/>
          <w:right w:w="108" w:type="dxa"/>
        </w:tblCellMar>
      </w:tblPr>
      <w:tblGrid>
        <w:gridCol w:w="2779"/>
        <w:gridCol w:w="2942"/>
        <w:gridCol w:w="2807"/>
      </w:tblGrid>
      <w:tr>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Layout w:type="fixed"/>
          <w:tblCellMar>
            <w:top w:w="0" w:type="dxa"/>
            <w:left w:w="108" w:type="dxa"/>
            <w:bottom w:w="0" w:type="dxa"/>
            <w:right w:w="108" w:type="dxa"/>
          </w:tblCellMar>
        </w:tblPrEx>
        <w:trPr>
          <w:cantSplit/>
          <w:trHeight w:val="390" w:hRule="atLeast"/>
          <w:jc w:val="center"/>
        </w:trPr>
        <w:tc>
          <w:tcPr>
            <w:tcW w:w="2779" w:type="dxa"/>
            <w:vAlign w:val="center"/>
          </w:tcPr>
          <w:p>
            <w:pPr>
              <w:spacing w:line="0" w:lineRule="atLeast"/>
              <w:jc w:val="center"/>
              <w:rPr>
                <w:szCs w:val="21"/>
              </w:rPr>
            </w:pPr>
            <w:r>
              <w:rPr>
                <w:szCs w:val="21"/>
              </w:rPr>
              <w:t>时间</w:t>
            </w:r>
          </w:p>
        </w:tc>
        <w:tc>
          <w:tcPr>
            <w:tcW w:w="2942"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昼间</w:t>
            </w:r>
          </w:p>
        </w:tc>
        <w:tc>
          <w:tcPr>
            <w:tcW w:w="2807"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夜间</w:t>
            </w:r>
          </w:p>
        </w:tc>
      </w:tr>
      <w:tr>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Layout w:type="fixed"/>
          <w:tblCellMar>
            <w:top w:w="0" w:type="dxa"/>
            <w:left w:w="108" w:type="dxa"/>
            <w:bottom w:w="0" w:type="dxa"/>
            <w:right w:w="108" w:type="dxa"/>
          </w:tblCellMar>
        </w:tblPrEx>
        <w:trPr>
          <w:trHeight w:val="316" w:hRule="atLeast"/>
          <w:jc w:val="center"/>
        </w:trPr>
        <w:tc>
          <w:tcPr>
            <w:tcW w:w="2779" w:type="dxa"/>
            <w:vAlign w:val="center"/>
          </w:tcPr>
          <w:p>
            <w:pPr>
              <w:spacing w:line="0" w:lineRule="atLeast"/>
              <w:jc w:val="center"/>
              <w:rPr>
                <w:szCs w:val="21"/>
              </w:rPr>
            </w:pPr>
            <w:r>
              <w:rPr>
                <w:szCs w:val="21"/>
              </w:rPr>
              <w:t>标准值</w:t>
            </w:r>
          </w:p>
        </w:tc>
        <w:tc>
          <w:tcPr>
            <w:tcW w:w="2942"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75</w:t>
            </w:r>
          </w:p>
        </w:tc>
        <w:tc>
          <w:tcPr>
            <w:tcW w:w="2807"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55</w:t>
            </w:r>
          </w:p>
        </w:tc>
      </w:tr>
    </w:tbl>
    <w:p>
      <w:pPr>
        <w:adjustRightInd w:val="0"/>
        <w:snapToGrid w:val="0"/>
        <w:ind w:firstLine="422" w:firstLineChars="200"/>
        <w:jc w:val="center"/>
        <w:rPr>
          <w:b/>
        </w:rPr>
      </w:pPr>
      <w:r>
        <w:rPr>
          <w:b/>
        </w:rPr>
        <w:t>表</w:t>
      </w:r>
      <w:r>
        <w:rPr>
          <w:rFonts w:hint="eastAsia"/>
          <w:b/>
        </w:rPr>
        <w:t>1.5-7</w:t>
      </w:r>
      <w:r>
        <w:rPr>
          <w:b/>
        </w:rPr>
        <w:t xml:space="preserve"> </w:t>
      </w:r>
      <w:r>
        <w:rPr>
          <w:rFonts w:hint="eastAsia"/>
          <w:b/>
        </w:rPr>
        <w:t>工业企业厂界</w:t>
      </w:r>
      <w:r>
        <w:rPr>
          <w:b/>
        </w:rPr>
        <w:t>环境噪声排放标准  （单位：dB(A)）</w:t>
      </w:r>
    </w:p>
    <w:tbl>
      <w:tblPr>
        <w:tblStyle w:val="59"/>
        <w:tblW w:w="8528" w:type="dxa"/>
        <w:jc w:val="center"/>
        <w:tblInd w:w="0" w:type="dxa"/>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Layout w:type="fixed"/>
        <w:tblCellMar>
          <w:top w:w="0" w:type="dxa"/>
          <w:left w:w="108" w:type="dxa"/>
          <w:bottom w:w="0" w:type="dxa"/>
          <w:right w:w="108" w:type="dxa"/>
        </w:tblCellMar>
      </w:tblPr>
      <w:tblGrid>
        <w:gridCol w:w="2778"/>
        <w:gridCol w:w="1458"/>
        <w:gridCol w:w="1486"/>
        <w:gridCol w:w="2806"/>
      </w:tblGrid>
      <w:tr>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Layout w:type="fixed"/>
          <w:tblCellMar>
            <w:top w:w="0" w:type="dxa"/>
            <w:left w:w="108" w:type="dxa"/>
            <w:bottom w:w="0" w:type="dxa"/>
            <w:right w:w="108" w:type="dxa"/>
          </w:tblCellMar>
        </w:tblPrEx>
        <w:trPr>
          <w:cantSplit/>
          <w:trHeight w:val="305" w:hRule="atLeast"/>
          <w:jc w:val="center"/>
        </w:trPr>
        <w:tc>
          <w:tcPr>
            <w:tcW w:w="277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噪声功能区</w:t>
            </w:r>
          </w:p>
        </w:tc>
        <w:tc>
          <w:tcPr>
            <w:tcW w:w="1458" w:type="dxa"/>
            <w:tcBorders>
              <w:right w:val="single" w:color="auto" w:sz="4" w:space="0"/>
            </w:tcBorders>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昼间</w:t>
            </w:r>
          </w:p>
        </w:tc>
        <w:tc>
          <w:tcPr>
            <w:tcW w:w="1486" w:type="dxa"/>
            <w:tcBorders>
              <w:left w:val="single" w:color="auto" w:sz="4" w:space="0"/>
            </w:tcBorders>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夜间</w:t>
            </w:r>
          </w:p>
        </w:tc>
        <w:tc>
          <w:tcPr>
            <w:tcW w:w="2806"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执行区域</w:t>
            </w:r>
          </w:p>
        </w:tc>
      </w:tr>
      <w:tr>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Layout w:type="fixed"/>
          <w:tblCellMar>
            <w:top w:w="0" w:type="dxa"/>
            <w:left w:w="108" w:type="dxa"/>
            <w:bottom w:w="0" w:type="dxa"/>
            <w:right w:w="108" w:type="dxa"/>
          </w:tblCellMar>
        </w:tblPrEx>
        <w:trPr>
          <w:trHeight w:val="326" w:hRule="atLeast"/>
          <w:jc w:val="center"/>
        </w:trPr>
        <w:tc>
          <w:tcPr>
            <w:tcW w:w="2778" w:type="dxa"/>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3</w:t>
            </w:r>
            <w:r>
              <w:rPr>
                <w:rFonts w:ascii="Times New Roman" w:hAnsi="Times New Roman" w:eastAsia="宋体"/>
                <w:sz w:val="21"/>
                <w:szCs w:val="21"/>
                <w:lang w:val="en-US" w:eastAsia="zh-CN"/>
              </w:rPr>
              <w:t>类标准值</w:t>
            </w:r>
          </w:p>
        </w:tc>
        <w:tc>
          <w:tcPr>
            <w:tcW w:w="1458" w:type="dxa"/>
            <w:tcBorders>
              <w:right w:val="single" w:color="auto" w:sz="4" w:space="0"/>
            </w:tcBorders>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6</w:t>
            </w:r>
            <w:r>
              <w:rPr>
                <w:rFonts w:hint="eastAsia" w:ascii="Times New Roman" w:hAnsi="Times New Roman" w:eastAsia="宋体"/>
                <w:sz w:val="21"/>
                <w:szCs w:val="21"/>
                <w:lang w:val="en-US" w:eastAsia="zh-CN"/>
              </w:rPr>
              <w:t>5</w:t>
            </w:r>
          </w:p>
        </w:tc>
        <w:tc>
          <w:tcPr>
            <w:tcW w:w="1486" w:type="dxa"/>
            <w:tcBorders>
              <w:left w:val="single" w:color="auto" w:sz="4" w:space="0"/>
            </w:tcBorders>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5</w:t>
            </w:r>
            <w:r>
              <w:rPr>
                <w:rFonts w:hint="eastAsia" w:ascii="Times New Roman" w:hAnsi="Times New Roman" w:eastAsia="宋体"/>
                <w:sz w:val="21"/>
                <w:szCs w:val="21"/>
                <w:lang w:val="en-US" w:eastAsia="zh-CN"/>
              </w:rPr>
              <w:t>5</w:t>
            </w:r>
          </w:p>
        </w:tc>
        <w:tc>
          <w:tcPr>
            <w:tcW w:w="2806" w:type="dxa"/>
            <w:vAlign w:val="center"/>
          </w:tcPr>
          <w:p>
            <w:pPr>
              <w:jc w:val="center"/>
              <w:rPr>
                <w:bCs/>
                <w:szCs w:val="21"/>
              </w:rPr>
            </w:pPr>
            <w:r>
              <w:rPr>
                <w:bCs/>
                <w:szCs w:val="21"/>
              </w:rPr>
              <w:t>其余厂界</w:t>
            </w:r>
          </w:p>
        </w:tc>
      </w:tr>
      <w:tr>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Layout w:type="fixed"/>
          <w:tblCellMar>
            <w:top w:w="0" w:type="dxa"/>
            <w:left w:w="108" w:type="dxa"/>
            <w:bottom w:w="0" w:type="dxa"/>
            <w:right w:w="108" w:type="dxa"/>
          </w:tblCellMar>
        </w:tblPrEx>
        <w:trPr>
          <w:trHeight w:val="326" w:hRule="atLeast"/>
          <w:jc w:val="center"/>
        </w:trPr>
        <w:tc>
          <w:tcPr>
            <w:tcW w:w="277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4类标准值</w:t>
            </w:r>
          </w:p>
        </w:tc>
        <w:tc>
          <w:tcPr>
            <w:tcW w:w="1458" w:type="dxa"/>
            <w:tcBorders>
              <w:right w:val="single" w:color="auto" w:sz="4" w:space="0"/>
            </w:tcBorders>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70</w:t>
            </w:r>
          </w:p>
        </w:tc>
        <w:tc>
          <w:tcPr>
            <w:tcW w:w="1486" w:type="dxa"/>
            <w:tcBorders>
              <w:left w:val="single" w:color="auto" w:sz="4" w:space="0"/>
            </w:tcBorders>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55</w:t>
            </w:r>
          </w:p>
        </w:tc>
        <w:tc>
          <w:tcPr>
            <w:tcW w:w="2806" w:type="dxa"/>
            <w:vAlign w:val="center"/>
          </w:tcPr>
          <w:p>
            <w:pPr>
              <w:jc w:val="center"/>
              <w:rPr>
                <w:bCs/>
                <w:szCs w:val="21"/>
              </w:rPr>
            </w:pPr>
            <w:r>
              <w:rPr>
                <w:bCs/>
                <w:szCs w:val="21"/>
              </w:rPr>
              <w:t>北侧厂界</w:t>
            </w:r>
          </w:p>
        </w:tc>
      </w:tr>
    </w:tbl>
    <w:p>
      <w:pPr>
        <w:adjustRightInd w:val="0"/>
        <w:snapToGrid w:val="0"/>
        <w:spacing w:line="360" w:lineRule="auto"/>
        <w:rPr>
          <w:rFonts w:hint="eastAsia"/>
          <w:sz w:val="24"/>
        </w:rPr>
      </w:pPr>
    </w:p>
    <w:p>
      <w:pPr>
        <w:pStyle w:val="4"/>
        <w:adjustRightInd w:val="0"/>
        <w:snapToGrid w:val="0"/>
        <w:spacing w:before="0" w:after="0" w:line="360" w:lineRule="auto"/>
        <w:rPr>
          <w:bCs w:val="0"/>
          <w:sz w:val="24"/>
          <w:szCs w:val="24"/>
        </w:rPr>
      </w:pPr>
      <w:bookmarkStart w:id="66" w:name="_Toc435690389"/>
      <w:r>
        <w:rPr>
          <w:rFonts w:hint="eastAsia"/>
          <w:bCs w:val="0"/>
          <w:sz w:val="24"/>
          <w:szCs w:val="24"/>
        </w:rPr>
        <w:t>1.5.4</w:t>
      </w:r>
      <w:r>
        <w:rPr>
          <w:bCs w:val="0"/>
          <w:sz w:val="24"/>
          <w:szCs w:val="24"/>
        </w:rPr>
        <w:t>地下水环境质量标准</w:t>
      </w:r>
      <w:bookmarkEnd w:id="66"/>
    </w:p>
    <w:p>
      <w:pPr>
        <w:adjustRightInd w:val="0"/>
        <w:snapToGrid w:val="0"/>
        <w:spacing w:line="360" w:lineRule="auto"/>
        <w:ind w:firstLine="480" w:firstLineChars="200"/>
        <w:rPr>
          <w:sz w:val="24"/>
        </w:rPr>
      </w:pPr>
      <w:r>
        <w:rPr>
          <w:sz w:val="24"/>
        </w:rPr>
        <w:t>本项目地下水环境质量标准参照《地下水质量标准》（GB/T14848-93）中</w:t>
      </w:r>
      <w:r>
        <w:rPr>
          <w:rFonts w:hint="eastAsia" w:ascii="宋体" w:hAnsi="宋体" w:cs="宋体"/>
          <w:sz w:val="24"/>
        </w:rPr>
        <w:t>Ⅲ</w:t>
      </w:r>
      <w:r>
        <w:rPr>
          <w:sz w:val="24"/>
        </w:rPr>
        <w:t>类标准，见表</w:t>
      </w:r>
      <w:r>
        <w:rPr>
          <w:rFonts w:hint="eastAsia"/>
          <w:sz w:val="24"/>
        </w:rPr>
        <w:t>1.5-8</w:t>
      </w:r>
      <w:r>
        <w:rPr>
          <w:sz w:val="24"/>
        </w:rPr>
        <w:t>。</w:t>
      </w:r>
    </w:p>
    <w:p>
      <w:pPr>
        <w:adjustRightInd w:val="0"/>
        <w:snapToGrid w:val="0"/>
        <w:ind w:firstLine="422" w:firstLineChars="200"/>
        <w:jc w:val="center"/>
        <w:rPr>
          <w:b/>
        </w:rPr>
      </w:pPr>
      <w:r>
        <w:rPr>
          <w:b/>
        </w:rPr>
        <w:t>表</w:t>
      </w:r>
      <w:r>
        <w:rPr>
          <w:rFonts w:hint="eastAsia"/>
          <w:b/>
        </w:rPr>
        <w:t xml:space="preserve">1.5-8  </w:t>
      </w:r>
      <w:r>
        <w:rPr>
          <w:b/>
        </w:rPr>
        <w:t xml:space="preserve"> 地下水环境质量标准  单位：mg/L，pH为无量纲</w:t>
      </w:r>
    </w:p>
    <w:tbl>
      <w:tblPr>
        <w:tblStyle w:val="59"/>
        <w:tblW w:w="85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
        <w:gridCol w:w="1416"/>
        <w:gridCol w:w="1405"/>
        <w:gridCol w:w="1405"/>
        <w:gridCol w:w="1453"/>
        <w:gridCol w:w="1455"/>
        <w:tblGridChange w:id="0">
          <w:tblGrid>
            <w:gridCol w:w="1394"/>
            <w:gridCol w:w="1416"/>
            <w:gridCol w:w="1405"/>
            <w:gridCol w:w="1405"/>
            <w:gridCol w:w="1453"/>
            <w:gridCol w:w="1455"/>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项目</w:t>
            </w:r>
          </w:p>
        </w:tc>
        <w:tc>
          <w:tcPr>
            <w:tcW w:w="1416"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I类</w:t>
            </w:r>
          </w:p>
        </w:tc>
        <w:tc>
          <w:tcPr>
            <w:tcW w:w="140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II类</w:t>
            </w:r>
          </w:p>
        </w:tc>
        <w:tc>
          <w:tcPr>
            <w:tcW w:w="140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III类</w:t>
            </w:r>
          </w:p>
        </w:tc>
        <w:tc>
          <w:tcPr>
            <w:tcW w:w="1453"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IV类</w:t>
            </w:r>
          </w:p>
        </w:tc>
        <w:tc>
          <w:tcPr>
            <w:tcW w:w="145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V类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 w:type="dxa"/>
            <w:vAlign w:val="top"/>
          </w:tcPr>
          <w:p>
            <w:pPr>
              <w:pStyle w:val="33"/>
              <w:adjustRightInd w:val="0"/>
              <w:snapToGrid w:val="0"/>
              <w:spacing w:after="0" w:line="240" w:lineRule="auto"/>
              <w:ind w:left="0" w:leftChars="0"/>
              <w:jc w:val="center"/>
              <w:rPr>
                <w:szCs w:val="21"/>
                <w:lang w:val="en-US" w:eastAsia="zh-CN"/>
              </w:rPr>
            </w:pPr>
            <w:r>
              <w:rPr>
                <w:szCs w:val="21"/>
                <w:lang w:val="en-US" w:eastAsia="zh-CN"/>
              </w:rPr>
              <w:t>pH</w:t>
            </w:r>
          </w:p>
        </w:tc>
        <w:tc>
          <w:tcPr>
            <w:tcW w:w="4226" w:type="dxa"/>
            <w:gridSpan w:val="3"/>
            <w:vAlign w:val="top"/>
          </w:tcPr>
          <w:p>
            <w:pPr>
              <w:pStyle w:val="33"/>
              <w:adjustRightInd w:val="0"/>
              <w:snapToGrid w:val="0"/>
              <w:spacing w:after="0" w:line="240" w:lineRule="auto"/>
              <w:ind w:left="0" w:leftChars="0"/>
              <w:jc w:val="center"/>
              <w:rPr>
                <w:szCs w:val="21"/>
                <w:lang w:val="en-US" w:eastAsia="zh-CN"/>
              </w:rPr>
            </w:pPr>
            <w:r>
              <w:rPr>
                <w:szCs w:val="21"/>
                <w:lang w:val="en-US" w:eastAsia="zh-CN"/>
              </w:rPr>
              <w:t>6.5-8.5</w:t>
            </w:r>
          </w:p>
        </w:tc>
        <w:tc>
          <w:tcPr>
            <w:tcW w:w="1453" w:type="dxa"/>
            <w:vAlign w:val="top"/>
          </w:tcPr>
          <w:p>
            <w:pPr>
              <w:pStyle w:val="33"/>
              <w:adjustRightInd w:val="0"/>
              <w:snapToGrid w:val="0"/>
              <w:spacing w:after="0" w:line="240" w:lineRule="auto"/>
              <w:ind w:left="0" w:leftChars="0"/>
              <w:jc w:val="center"/>
              <w:rPr>
                <w:szCs w:val="21"/>
                <w:lang w:val="en-US" w:eastAsia="zh-CN"/>
              </w:rPr>
            </w:pPr>
            <w:r>
              <w:rPr>
                <w:szCs w:val="21"/>
                <w:lang w:val="en-US" w:eastAsia="zh-CN"/>
              </w:rPr>
              <w:t>5.5-6.5，8.5-9</w:t>
            </w:r>
          </w:p>
        </w:tc>
        <w:tc>
          <w:tcPr>
            <w:tcW w:w="145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&lt;5.5，&gt;9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总硬度</w:t>
            </w:r>
          </w:p>
        </w:tc>
        <w:tc>
          <w:tcPr>
            <w:tcW w:w="1416"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≤150</w:t>
            </w:r>
          </w:p>
        </w:tc>
        <w:tc>
          <w:tcPr>
            <w:tcW w:w="140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≤300</w:t>
            </w:r>
          </w:p>
        </w:tc>
        <w:tc>
          <w:tcPr>
            <w:tcW w:w="140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≤450</w:t>
            </w:r>
          </w:p>
        </w:tc>
        <w:tc>
          <w:tcPr>
            <w:tcW w:w="1453"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≤550</w:t>
            </w:r>
          </w:p>
        </w:tc>
        <w:tc>
          <w:tcPr>
            <w:tcW w:w="145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&gt;550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氨氮</w:t>
            </w:r>
          </w:p>
        </w:tc>
        <w:tc>
          <w:tcPr>
            <w:tcW w:w="1416"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≤0.02</w:t>
            </w:r>
          </w:p>
        </w:tc>
        <w:tc>
          <w:tcPr>
            <w:tcW w:w="140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≤0.02</w:t>
            </w:r>
          </w:p>
        </w:tc>
        <w:tc>
          <w:tcPr>
            <w:tcW w:w="140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≤0.2</w:t>
            </w:r>
          </w:p>
        </w:tc>
        <w:tc>
          <w:tcPr>
            <w:tcW w:w="1453"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≤0.5</w:t>
            </w:r>
          </w:p>
        </w:tc>
        <w:tc>
          <w:tcPr>
            <w:tcW w:w="145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&gt;0.5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高锰酸盐指数</w:t>
            </w:r>
          </w:p>
        </w:tc>
        <w:tc>
          <w:tcPr>
            <w:tcW w:w="1416"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≤1.0</w:t>
            </w:r>
          </w:p>
        </w:tc>
        <w:tc>
          <w:tcPr>
            <w:tcW w:w="140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≤2.0</w:t>
            </w:r>
          </w:p>
        </w:tc>
        <w:tc>
          <w:tcPr>
            <w:tcW w:w="140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≤3.0</w:t>
            </w:r>
          </w:p>
        </w:tc>
        <w:tc>
          <w:tcPr>
            <w:tcW w:w="1453"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≤10</w:t>
            </w:r>
          </w:p>
        </w:tc>
        <w:tc>
          <w:tcPr>
            <w:tcW w:w="145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&gt;10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硝酸盐</w:t>
            </w:r>
          </w:p>
        </w:tc>
        <w:tc>
          <w:tcPr>
            <w:tcW w:w="1416"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≤2.0</w:t>
            </w:r>
          </w:p>
        </w:tc>
        <w:tc>
          <w:tcPr>
            <w:tcW w:w="140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≤5.0</w:t>
            </w:r>
          </w:p>
        </w:tc>
        <w:tc>
          <w:tcPr>
            <w:tcW w:w="140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≤20</w:t>
            </w:r>
          </w:p>
        </w:tc>
        <w:tc>
          <w:tcPr>
            <w:tcW w:w="1453"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≤30</w:t>
            </w:r>
          </w:p>
        </w:tc>
        <w:tc>
          <w:tcPr>
            <w:tcW w:w="145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&gt;30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氯化物</w:t>
            </w:r>
          </w:p>
        </w:tc>
        <w:tc>
          <w:tcPr>
            <w:tcW w:w="1416"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≤50</w:t>
            </w:r>
          </w:p>
        </w:tc>
        <w:tc>
          <w:tcPr>
            <w:tcW w:w="140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≤150</w:t>
            </w:r>
          </w:p>
        </w:tc>
        <w:tc>
          <w:tcPr>
            <w:tcW w:w="140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≤250</w:t>
            </w:r>
          </w:p>
        </w:tc>
        <w:tc>
          <w:tcPr>
            <w:tcW w:w="1453"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≤350</w:t>
            </w:r>
          </w:p>
        </w:tc>
        <w:tc>
          <w:tcPr>
            <w:tcW w:w="1455" w:type="dxa"/>
            <w:vAlign w:val="center"/>
          </w:tcPr>
          <w:p>
            <w:pPr>
              <w:pStyle w:val="33"/>
              <w:adjustRightInd w:val="0"/>
              <w:snapToGrid w:val="0"/>
              <w:spacing w:after="0" w:line="240" w:lineRule="auto"/>
              <w:ind w:left="0" w:leftChars="0"/>
              <w:jc w:val="center"/>
              <w:rPr>
                <w:szCs w:val="21"/>
                <w:lang w:val="en-US" w:eastAsia="zh-CN"/>
              </w:rPr>
            </w:pPr>
            <w:r>
              <w:rPr>
                <w:szCs w:val="21"/>
                <w:lang w:val="en-US" w:eastAsia="zh-CN"/>
              </w:rPr>
              <w:t>&gt;350</w:t>
            </w:r>
          </w:p>
        </w:tc>
      </w:tr>
    </w:tbl>
    <w:p>
      <w:pPr>
        <w:pStyle w:val="4"/>
        <w:adjustRightInd w:val="0"/>
        <w:snapToGrid w:val="0"/>
        <w:spacing w:before="0" w:after="0" w:line="360" w:lineRule="auto"/>
        <w:rPr>
          <w:bCs w:val="0"/>
          <w:sz w:val="24"/>
          <w:szCs w:val="24"/>
        </w:rPr>
      </w:pPr>
      <w:bookmarkStart w:id="67" w:name="_Toc435690390"/>
      <w:r>
        <w:rPr>
          <w:rFonts w:hint="eastAsia"/>
          <w:bCs w:val="0"/>
          <w:sz w:val="24"/>
          <w:szCs w:val="24"/>
        </w:rPr>
        <w:t>1.5.5</w:t>
      </w:r>
      <w:r>
        <w:rPr>
          <w:bCs w:val="0"/>
          <w:sz w:val="24"/>
          <w:szCs w:val="24"/>
        </w:rPr>
        <w:t>土壤环境质量标准</w:t>
      </w:r>
      <w:bookmarkEnd w:id="67"/>
    </w:p>
    <w:p>
      <w:pPr>
        <w:adjustRightInd w:val="0"/>
        <w:snapToGrid w:val="0"/>
        <w:spacing w:line="360" w:lineRule="auto"/>
        <w:ind w:firstLine="480" w:firstLineChars="200"/>
        <w:rPr>
          <w:sz w:val="24"/>
        </w:rPr>
      </w:pPr>
      <w:r>
        <w:rPr>
          <w:sz w:val="24"/>
        </w:rPr>
        <w:t>土壤环境质量评价执行《土壤环境质量标准》（GB15618-1995）中的二级标准，见表</w:t>
      </w:r>
      <w:r>
        <w:rPr>
          <w:rFonts w:hint="eastAsia"/>
          <w:sz w:val="24"/>
        </w:rPr>
        <w:t>1.5-9</w:t>
      </w:r>
      <w:r>
        <w:rPr>
          <w:sz w:val="24"/>
        </w:rPr>
        <w:t>。</w:t>
      </w:r>
    </w:p>
    <w:p>
      <w:pPr>
        <w:adjustRightInd w:val="0"/>
        <w:snapToGrid w:val="0"/>
        <w:ind w:firstLine="422" w:firstLineChars="200"/>
        <w:jc w:val="center"/>
        <w:rPr>
          <w:b/>
        </w:rPr>
      </w:pPr>
      <w:r>
        <w:rPr>
          <w:b/>
        </w:rPr>
        <w:t>表</w:t>
      </w:r>
      <w:r>
        <w:rPr>
          <w:rFonts w:hint="eastAsia"/>
          <w:b/>
        </w:rPr>
        <w:t>1.5-9</w:t>
      </w:r>
      <w:r>
        <w:rPr>
          <w:b/>
        </w:rPr>
        <w:t xml:space="preserve"> 土壤环境质量标准  单位：mg/kg</w:t>
      </w:r>
    </w:p>
    <w:tbl>
      <w:tblPr>
        <w:tblStyle w:val="59"/>
        <w:tblW w:w="85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82"/>
        <w:gridCol w:w="1649"/>
        <w:gridCol w:w="1649"/>
        <w:gridCol w:w="16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7" w:hRule="atLeast"/>
          <w:jc w:val="center"/>
        </w:trPr>
        <w:tc>
          <w:tcPr>
            <w:tcW w:w="3582"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类  别（水田）</w:t>
            </w:r>
          </w:p>
        </w:tc>
        <w:tc>
          <w:tcPr>
            <w:tcW w:w="4946" w:type="dxa"/>
            <w:gridSpan w:val="3"/>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二级标准值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582"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pH值</w:t>
            </w:r>
          </w:p>
        </w:tc>
        <w:tc>
          <w:tcPr>
            <w:tcW w:w="164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＜6.5</w:t>
            </w:r>
          </w:p>
        </w:tc>
        <w:tc>
          <w:tcPr>
            <w:tcW w:w="164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6.5～7.5</w:t>
            </w:r>
          </w:p>
        </w:tc>
        <w:tc>
          <w:tcPr>
            <w:tcW w:w="164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582"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铜</w:t>
            </w:r>
          </w:p>
        </w:tc>
        <w:tc>
          <w:tcPr>
            <w:tcW w:w="164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50</w:t>
            </w:r>
          </w:p>
        </w:tc>
        <w:tc>
          <w:tcPr>
            <w:tcW w:w="164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100</w:t>
            </w:r>
          </w:p>
        </w:tc>
        <w:tc>
          <w:tcPr>
            <w:tcW w:w="164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582"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锌</w:t>
            </w:r>
          </w:p>
        </w:tc>
        <w:tc>
          <w:tcPr>
            <w:tcW w:w="164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200</w:t>
            </w:r>
          </w:p>
        </w:tc>
        <w:tc>
          <w:tcPr>
            <w:tcW w:w="164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250</w:t>
            </w:r>
          </w:p>
        </w:tc>
        <w:tc>
          <w:tcPr>
            <w:tcW w:w="164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6" w:hRule="atLeast"/>
          <w:jc w:val="center"/>
        </w:trPr>
        <w:tc>
          <w:tcPr>
            <w:tcW w:w="3582"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镍</w:t>
            </w:r>
          </w:p>
        </w:tc>
        <w:tc>
          <w:tcPr>
            <w:tcW w:w="164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40</w:t>
            </w:r>
          </w:p>
        </w:tc>
        <w:tc>
          <w:tcPr>
            <w:tcW w:w="164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50</w:t>
            </w:r>
          </w:p>
        </w:tc>
        <w:tc>
          <w:tcPr>
            <w:tcW w:w="164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6" w:hRule="atLeast"/>
          <w:jc w:val="center"/>
        </w:trPr>
        <w:tc>
          <w:tcPr>
            <w:tcW w:w="3582"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铅</w:t>
            </w:r>
          </w:p>
        </w:tc>
        <w:tc>
          <w:tcPr>
            <w:tcW w:w="164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250</w:t>
            </w:r>
          </w:p>
        </w:tc>
        <w:tc>
          <w:tcPr>
            <w:tcW w:w="164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300</w:t>
            </w:r>
          </w:p>
        </w:tc>
        <w:tc>
          <w:tcPr>
            <w:tcW w:w="164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6" w:hRule="atLeast"/>
          <w:jc w:val="center"/>
        </w:trPr>
        <w:tc>
          <w:tcPr>
            <w:tcW w:w="3582"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砷</w:t>
            </w:r>
          </w:p>
        </w:tc>
        <w:tc>
          <w:tcPr>
            <w:tcW w:w="164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30</w:t>
            </w:r>
          </w:p>
        </w:tc>
        <w:tc>
          <w:tcPr>
            <w:tcW w:w="1649"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25</w:t>
            </w:r>
          </w:p>
        </w:tc>
        <w:tc>
          <w:tcPr>
            <w:tcW w:w="164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20</w:t>
            </w:r>
          </w:p>
        </w:tc>
      </w:tr>
    </w:tbl>
    <w:p>
      <w:pPr>
        <w:sectPr>
          <w:pgSz w:w="11906" w:h="16838"/>
          <w:pgMar w:top="1440" w:right="1797" w:bottom="1440" w:left="1797" w:header="851" w:footer="992" w:gutter="0"/>
          <w:pgNumType w:start="1"/>
          <w:cols w:space="425" w:num="1"/>
          <w:docGrid w:type="lines" w:linePitch="312" w:charSpace="0"/>
        </w:sectPr>
      </w:pPr>
    </w:p>
    <w:bookmarkEnd w:id="60"/>
    <w:bookmarkEnd w:id="63"/>
    <w:p>
      <w:pPr>
        <w:pStyle w:val="2"/>
        <w:spacing w:before="0" w:after="0" w:line="360" w:lineRule="auto"/>
        <w:rPr>
          <w:rFonts w:eastAsia="宋体"/>
          <w:b/>
          <w:color w:val="auto"/>
          <w:sz w:val="32"/>
          <w:szCs w:val="32"/>
        </w:rPr>
      </w:pPr>
      <w:bookmarkStart w:id="68" w:name="_Toc136684411"/>
      <w:bookmarkStart w:id="69" w:name="_Toc435690391"/>
      <w:bookmarkStart w:id="70" w:name="_Toc35852122"/>
      <w:bookmarkStart w:id="71" w:name="_Toc228179887"/>
      <w:bookmarkStart w:id="72" w:name="_Toc238287974"/>
      <w:bookmarkStart w:id="73" w:name="_Toc152648899"/>
      <w:bookmarkStart w:id="74" w:name="_Toc174240613"/>
      <w:r>
        <w:rPr>
          <w:rFonts w:eastAsia="宋体"/>
          <w:b/>
          <w:color w:val="auto"/>
          <w:sz w:val="32"/>
          <w:szCs w:val="32"/>
        </w:rPr>
        <w:t>2.</w:t>
      </w:r>
      <w:bookmarkEnd w:id="68"/>
      <w:r>
        <w:rPr>
          <w:rFonts w:hint="eastAsia" w:eastAsia="宋体"/>
          <w:b/>
          <w:color w:val="auto"/>
          <w:sz w:val="32"/>
          <w:szCs w:val="32"/>
        </w:rPr>
        <w:t>工程分析</w:t>
      </w:r>
      <w:bookmarkEnd w:id="69"/>
    </w:p>
    <w:p>
      <w:pPr>
        <w:pStyle w:val="3"/>
        <w:spacing w:before="0" w:after="0" w:line="360" w:lineRule="auto"/>
        <w:rPr>
          <w:rFonts w:hint="eastAsia" w:ascii="Times New Roman" w:hAnsi="Times New Roman" w:eastAsia="宋体"/>
          <w:b/>
          <w:sz w:val="28"/>
          <w:szCs w:val="28"/>
        </w:rPr>
      </w:pPr>
      <w:bookmarkStart w:id="75" w:name="_Toc435690392"/>
      <w:bookmarkStart w:id="76" w:name="_Toc128368478"/>
      <w:bookmarkStart w:id="77" w:name="_Toc131104940"/>
      <w:bookmarkStart w:id="78" w:name="_Toc136684412"/>
      <w:r>
        <w:rPr>
          <w:rFonts w:ascii="Times New Roman" w:hAnsi="Times New Roman" w:eastAsia="宋体"/>
          <w:b/>
          <w:sz w:val="28"/>
          <w:szCs w:val="28"/>
        </w:rPr>
        <w:t>2.1</w:t>
      </w:r>
      <w:r>
        <w:rPr>
          <w:rFonts w:hint="eastAsia" w:ascii="Times New Roman" w:hAnsi="Times New Roman" w:eastAsia="宋体"/>
          <w:b/>
          <w:sz w:val="28"/>
          <w:szCs w:val="28"/>
        </w:rPr>
        <w:t>建设项目基本概况</w:t>
      </w:r>
      <w:bookmarkEnd w:id="75"/>
    </w:p>
    <w:p>
      <w:pPr>
        <w:pStyle w:val="4"/>
        <w:adjustRightInd w:val="0"/>
        <w:snapToGrid w:val="0"/>
        <w:spacing w:before="0" w:after="0" w:line="360" w:lineRule="auto"/>
        <w:rPr>
          <w:bCs w:val="0"/>
          <w:sz w:val="24"/>
          <w:szCs w:val="24"/>
        </w:rPr>
      </w:pPr>
      <w:bookmarkStart w:id="79" w:name="_Toc435690393"/>
      <w:r>
        <w:rPr>
          <w:rFonts w:hint="eastAsia"/>
          <w:bCs w:val="0"/>
          <w:sz w:val="24"/>
          <w:szCs w:val="24"/>
        </w:rPr>
        <w:t>2.1.1</w:t>
      </w:r>
      <w:r>
        <w:rPr>
          <w:bCs w:val="0"/>
          <w:sz w:val="24"/>
          <w:szCs w:val="24"/>
        </w:rPr>
        <w:t>建设项目建设内容</w:t>
      </w:r>
      <w:bookmarkEnd w:id="76"/>
      <w:bookmarkEnd w:id="77"/>
      <w:bookmarkEnd w:id="78"/>
      <w:bookmarkEnd w:id="79"/>
    </w:p>
    <w:p>
      <w:pPr>
        <w:adjustRightInd w:val="0"/>
        <w:snapToGrid w:val="0"/>
        <w:spacing w:line="360" w:lineRule="auto"/>
        <w:ind w:firstLine="480" w:firstLineChars="200"/>
        <w:rPr>
          <w:sz w:val="24"/>
        </w:rPr>
      </w:pPr>
      <w:r>
        <w:rPr>
          <w:sz w:val="24"/>
        </w:rPr>
        <w:t>建设项目名称：南京鼎邦网络科技有限公司雨花物流自动化二期项目</w:t>
      </w:r>
    </w:p>
    <w:p>
      <w:pPr>
        <w:adjustRightInd w:val="0"/>
        <w:snapToGrid w:val="0"/>
        <w:spacing w:line="360" w:lineRule="auto"/>
        <w:ind w:firstLine="480" w:firstLineChars="200"/>
        <w:rPr>
          <w:sz w:val="24"/>
        </w:rPr>
      </w:pPr>
      <w:r>
        <w:rPr>
          <w:sz w:val="24"/>
        </w:rPr>
        <w:t>行业类别：G5990其他仓储业</w:t>
      </w:r>
    </w:p>
    <w:p>
      <w:pPr>
        <w:adjustRightInd w:val="0"/>
        <w:snapToGrid w:val="0"/>
        <w:spacing w:line="360" w:lineRule="auto"/>
        <w:ind w:firstLine="480" w:firstLineChars="200"/>
        <w:rPr>
          <w:sz w:val="24"/>
        </w:rPr>
      </w:pPr>
      <w:r>
        <w:rPr>
          <w:sz w:val="24"/>
        </w:rPr>
        <w:t>建设性质：</w:t>
      </w:r>
      <w:r>
        <w:rPr>
          <w:rFonts w:hint="eastAsia"/>
          <w:sz w:val="24"/>
        </w:rPr>
        <w:t>新</w:t>
      </w:r>
      <w:r>
        <w:rPr>
          <w:sz w:val="24"/>
        </w:rPr>
        <w:t>建</w:t>
      </w:r>
    </w:p>
    <w:p>
      <w:pPr>
        <w:adjustRightInd w:val="0"/>
        <w:snapToGrid w:val="0"/>
        <w:spacing w:line="360" w:lineRule="auto"/>
        <w:ind w:firstLine="480" w:firstLineChars="200"/>
        <w:rPr>
          <w:sz w:val="24"/>
        </w:rPr>
      </w:pPr>
      <w:r>
        <w:rPr>
          <w:sz w:val="24"/>
        </w:rPr>
        <w:t>建设地点：南京市雨花台区雨花经济开发区，龙藏大道以南、二号路以北、苏宁物流</w:t>
      </w:r>
      <w:r>
        <w:rPr>
          <w:rFonts w:hint="eastAsia"/>
          <w:sz w:val="24"/>
        </w:rPr>
        <w:t>中心</w:t>
      </w:r>
      <w:r>
        <w:rPr>
          <w:sz w:val="24"/>
        </w:rPr>
        <w:t>项目以西</w:t>
      </w:r>
    </w:p>
    <w:p>
      <w:pPr>
        <w:adjustRightInd w:val="0"/>
        <w:snapToGrid w:val="0"/>
        <w:spacing w:line="360" w:lineRule="auto"/>
        <w:ind w:firstLine="480" w:firstLineChars="200"/>
        <w:rPr>
          <w:sz w:val="24"/>
        </w:rPr>
      </w:pPr>
      <w:r>
        <w:rPr>
          <w:sz w:val="24"/>
        </w:rPr>
        <w:t>投资总额：94281.9万元。其中项目环保投资约</w:t>
      </w:r>
      <w:r>
        <w:rPr>
          <w:rFonts w:hint="eastAsia"/>
          <w:sz w:val="24"/>
        </w:rPr>
        <w:t>165</w:t>
      </w:r>
      <w:r>
        <w:rPr>
          <w:sz w:val="24"/>
        </w:rPr>
        <w:t>万元，占投资总额的0.</w:t>
      </w:r>
      <w:r>
        <w:rPr>
          <w:rFonts w:hint="eastAsia"/>
          <w:sz w:val="24"/>
        </w:rPr>
        <w:t>18</w:t>
      </w:r>
      <w:r>
        <w:rPr>
          <w:sz w:val="24"/>
        </w:rPr>
        <w:t>%</w:t>
      </w:r>
    </w:p>
    <w:p>
      <w:pPr>
        <w:adjustRightInd w:val="0"/>
        <w:snapToGrid w:val="0"/>
        <w:spacing w:line="360" w:lineRule="auto"/>
        <w:ind w:firstLine="480" w:firstLineChars="200"/>
        <w:rPr>
          <w:rFonts w:hint="eastAsia"/>
          <w:sz w:val="24"/>
        </w:rPr>
      </w:pPr>
      <w:r>
        <w:rPr>
          <w:sz w:val="24"/>
        </w:rPr>
        <w:t>占地面积：396449 m</w:t>
      </w:r>
      <w:r>
        <w:rPr>
          <w:sz w:val="24"/>
          <w:vertAlign w:val="superscript"/>
        </w:rPr>
        <w:t>2</w:t>
      </w:r>
      <w:r>
        <w:rPr>
          <w:sz w:val="24"/>
        </w:rPr>
        <w:t>，总建筑面积516562.44 m</w:t>
      </w:r>
      <w:r>
        <w:rPr>
          <w:sz w:val="24"/>
          <w:vertAlign w:val="superscript"/>
        </w:rPr>
        <w:t>2</w:t>
      </w:r>
      <w:r>
        <w:rPr>
          <w:sz w:val="24"/>
        </w:rPr>
        <w:t>，绿化面积为66220.4m</w:t>
      </w:r>
      <w:r>
        <w:rPr>
          <w:sz w:val="24"/>
          <w:vertAlign w:val="superscript"/>
        </w:rPr>
        <w:t>2</w:t>
      </w:r>
      <w:r>
        <w:rPr>
          <w:sz w:val="24"/>
        </w:rPr>
        <w:t>，绿化率</w:t>
      </w:r>
      <w:r>
        <w:rPr>
          <w:rFonts w:hint="eastAsia"/>
          <w:sz w:val="24"/>
        </w:rPr>
        <w:t>16.7</w:t>
      </w:r>
      <w:r>
        <w:rPr>
          <w:sz w:val="24"/>
        </w:rPr>
        <w:t>%</w:t>
      </w:r>
    </w:p>
    <w:p>
      <w:pPr>
        <w:adjustRightInd w:val="0"/>
        <w:snapToGrid w:val="0"/>
        <w:spacing w:line="360" w:lineRule="auto"/>
        <w:ind w:firstLine="480" w:firstLineChars="200"/>
        <w:rPr>
          <w:sz w:val="24"/>
        </w:rPr>
      </w:pPr>
      <w:r>
        <w:rPr>
          <w:sz w:val="24"/>
        </w:rPr>
        <w:t>职工人数：本项目定员</w:t>
      </w:r>
      <w:r>
        <w:rPr>
          <w:rFonts w:hint="eastAsia"/>
          <w:sz w:val="24"/>
        </w:rPr>
        <w:t>14</w:t>
      </w:r>
      <w:r>
        <w:rPr>
          <w:sz w:val="24"/>
        </w:rPr>
        <w:t>00人</w:t>
      </w:r>
      <w:r>
        <w:rPr>
          <w:rFonts w:hint="eastAsia"/>
          <w:sz w:val="24"/>
        </w:rPr>
        <w:t>，其中物流配送人员600人，均值每个班次300人，每天2班。研发办公人员800人，每天1班。</w:t>
      </w:r>
    </w:p>
    <w:p>
      <w:pPr>
        <w:adjustRightInd w:val="0"/>
        <w:snapToGrid w:val="0"/>
        <w:spacing w:line="360" w:lineRule="auto"/>
        <w:ind w:firstLine="480" w:firstLineChars="200"/>
        <w:rPr>
          <w:sz w:val="24"/>
        </w:rPr>
      </w:pPr>
      <w:r>
        <w:rPr>
          <w:sz w:val="24"/>
        </w:rPr>
        <w:t>工作时数：365天，每天24小时</w:t>
      </w:r>
    </w:p>
    <w:p>
      <w:pPr>
        <w:pStyle w:val="4"/>
        <w:adjustRightInd w:val="0"/>
        <w:snapToGrid w:val="0"/>
        <w:spacing w:before="0" w:after="0" w:line="360" w:lineRule="auto"/>
        <w:rPr>
          <w:bCs w:val="0"/>
          <w:sz w:val="24"/>
          <w:szCs w:val="24"/>
        </w:rPr>
      </w:pPr>
      <w:bookmarkStart w:id="80" w:name="_Toc435690394"/>
      <w:r>
        <w:rPr>
          <w:bCs w:val="0"/>
          <w:sz w:val="24"/>
          <w:szCs w:val="24"/>
        </w:rPr>
        <w:t>2.</w:t>
      </w:r>
      <w:r>
        <w:rPr>
          <w:rFonts w:hint="eastAsia"/>
          <w:bCs w:val="0"/>
          <w:sz w:val="24"/>
          <w:szCs w:val="24"/>
        </w:rPr>
        <w:t>1.</w:t>
      </w:r>
      <w:r>
        <w:rPr>
          <w:bCs w:val="0"/>
          <w:sz w:val="24"/>
          <w:szCs w:val="24"/>
        </w:rPr>
        <w:t>2主要建设内容</w:t>
      </w:r>
      <w:bookmarkEnd w:id="80"/>
    </w:p>
    <w:p>
      <w:pPr>
        <w:adjustRightInd w:val="0"/>
        <w:snapToGrid w:val="0"/>
        <w:spacing w:line="360" w:lineRule="auto"/>
        <w:ind w:firstLine="480" w:firstLineChars="200"/>
        <w:rPr>
          <w:sz w:val="24"/>
        </w:rPr>
      </w:pPr>
      <w:r>
        <w:rPr>
          <w:sz w:val="24"/>
        </w:rPr>
        <w:t>（1）建设规模</w:t>
      </w:r>
    </w:p>
    <w:p>
      <w:pPr>
        <w:adjustRightInd w:val="0"/>
        <w:snapToGrid w:val="0"/>
        <w:spacing w:line="360" w:lineRule="auto"/>
        <w:ind w:firstLine="480" w:firstLineChars="200"/>
        <w:rPr>
          <w:sz w:val="24"/>
        </w:rPr>
      </w:pPr>
      <w:r>
        <w:rPr>
          <w:sz w:val="24"/>
        </w:rPr>
        <w:t>本项目预计年物流仓储量为1578万吨，配送量为95万吨，主要仓储配送产品为家用电器和服装鞋帽、婴儿用品、食品、化妆品、汽车用品、珠宝、书籍、乐器等日用百货，</w:t>
      </w:r>
      <w:r>
        <w:rPr>
          <w:rFonts w:hint="eastAsia"/>
          <w:b/>
          <w:sz w:val="24"/>
        </w:rPr>
        <w:t>不涉及危险化学品</w:t>
      </w:r>
      <w:r>
        <w:rPr>
          <w:rFonts w:hint="eastAsia"/>
          <w:sz w:val="24"/>
        </w:rPr>
        <w:t>。</w:t>
      </w:r>
      <w:r>
        <w:rPr>
          <w:sz w:val="24"/>
        </w:rPr>
        <w:t>详见表</w:t>
      </w:r>
      <w:r>
        <w:rPr>
          <w:rFonts w:hint="eastAsia"/>
          <w:sz w:val="24"/>
        </w:rPr>
        <w:t>2.1</w:t>
      </w:r>
      <w:r>
        <w:rPr>
          <w:sz w:val="24"/>
        </w:rPr>
        <w:t>-1。</w:t>
      </w:r>
    </w:p>
    <w:p>
      <w:pPr>
        <w:adjustRightInd w:val="0"/>
        <w:snapToGrid w:val="0"/>
        <w:ind w:firstLine="422" w:firstLineChars="200"/>
        <w:jc w:val="center"/>
        <w:rPr>
          <w:b/>
        </w:rPr>
      </w:pPr>
      <w:r>
        <w:rPr>
          <w:b/>
        </w:rPr>
        <w:t>表</w:t>
      </w:r>
      <w:r>
        <w:rPr>
          <w:rFonts w:hint="eastAsia"/>
          <w:b/>
        </w:rPr>
        <w:t>2.1</w:t>
      </w:r>
      <w:r>
        <w:rPr>
          <w:b/>
        </w:rPr>
        <w:t>-1 建设项目主体工程及产品方案</w:t>
      </w:r>
    </w:p>
    <w:tbl>
      <w:tblPr>
        <w:tblStyle w:val="59"/>
        <w:tblW w:w="85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2174"/>
        <w:gridCol w:w="3178"/>
        <w:gridCol w:w="848"/>
        <w:gridCol w:w="846"/>
        <w:gridCol w:w="1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 w:type="dxa"/>
            <w:vMerge w:val="restart"/>
            <w:vAlign w:val="center"/>
          </w:tcPr>
          <w:p>
            <w:pPr>
              <w:spacing w:line="320" w:lineRule="exact"/>
              <w:jc w:val="center"/>
              <w:rPr>
                <w:szCs w:val="21"/>
              </w:rPr>
            </w:pPr>
            <w:r>
              <w:rPr>
                <w:szCs w:val="21"/>
              </w:rPr>
              <w:t>序号</w:t>
            </w:r>
          </w:p>
        </w:tc>
        <w:tc>
          <w:tcPr>
            <w:tcW w:w="2174" w:type="dxa"/>
            <w:vMerge w:val="restart"/>
            <w:vAlign w:val="center"/>
          </w:tcPr>
          <w:p>
            <w:pPr>
              <w:spacing w:line="320" w:lineRule="exact"/>
              <w:jc w:val="center"/>
              <w:rPr>
                <w:szCs w:val="21"/>
              </w:rPr>
            </w:pPr>
            <w:r>
              <w:rPr>
                <w:szCs w:val="21"/>
              </w:rPr>
              <w:t>工程名称</w:t>
            </w:r>
          </w:p>
        </w:tc>
        <w:tc>
          <w:tcPr>
            <w:tcW w:w="3178" w:type="dxa"/>
            <w:vMerge w:val="restart"/>
            <w:vAlign w:val="center"/>
          </w:tcPr>
          <w:p>
            <w:pPr>
              <w:spacing w:line="320" w:lineRule="exact"/>
              <w:jc w:val="center"/>
              <w:rPr>
                <w:szCs w:val="21"/>
              </w:rPr>
            </w:pPr>
            <w:r>
              <w:rPr>
                <w:szCs w:val="21"/>
              </w:rPr>
              <w:t>产品名称(物流</w:t>
            </w:r>
            <w:r>
              <w:rPr>
                <w:rFonts w:hint="eastAsia"/>
                <w:szCs w:val="21"/>
              </w:rPr>
              <w:t>商品</w:t>
            </w:r>
            <w:r>
              <w:rPr>
                <w:szCs w:val="21"/>
              </w:rPr>
              <w:t>)</w:t>
            </w:r>
          </w:p>
        </w:tc>
        <w:tc>
          <w:tcPr>
            <w:tcW w:w="1694" w:type="dxa"/>
            <w:gridSpan w:val="2"/>
            <w:vAlign w:val="center"/>
          </w:tcPr>
          <w:p>
            <w:pPr>
              <w:spacing w:line="320" w:lineRule="exact"/>
              <w:jc w:val="center"/>
              <w:rPr>
                <w:szCs w:val="21"/>
              </w:rPr>
            </w:pPr>
            <w:r>
              <w:rPr>
                <w:szCs w:val="21"/>
              </w:rPr>
              <w:t>设计能力：万t</w:t>
            </w:r>
          </w:p>
        </w:tc>
        <w:tc>
          <w:tcPr>
            <w:tcW w:w="1056" w:type="dxa"/>
            <w:vMerge w:val="restart"/>
            <w:vAlign w:val="center"/>
          </w:tcPr>
          <w:p>
            <w:pPr>
              <w:spacing w:line="320" w:lineRule="exact"/>
              <w:jc w:val="center"/>
              <w:rPr>
                <w:szCs w:val="21"/>
              </w:rPr>
            </w:pPr>
            <w:r>
              <w:rPr>
                <w:szCs w:val="21"/>
              </w:rPr>
              <w:t>年运行时数（h）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 w:type="dxa"/>
            <w:vMerge w:val="continue"/>
            <w:vAlign w:val="center"/>
          </w:tcPr>
          <w:p>
            <w:pPr>
              <w:spacing w:line="320" w:lineRule="exact"/>
              <w:jc w:val="center"/>
              <w:rPr>
                <w:szCs w:val="21"/>
              </w:rPr>
            </w:pPr>
          </w:p>
        </w:tc>
        <w:tc>
          <w:tcPr>
            <w:tcW w:w="2174" w:type="dxa"/>
            <w:vMerge w:val="continue"/>
            <w:vAlign w:val="center"/>
          </w:tcPr>
          <w:p>
            <w:pPr>
              <w:spacing w:line="320" w:lineRule="exact"/>
              <w:jc w:val="center"/>
              <w:rPr>
                <w:szCs w:val="21"/>
              </w:rPr>
            </w:pPr>
          </w:p>
        </w:tc>
        <w:tc>
          <w:tcPr>
            <w:tcW w:w="3178" w:type="dxa"/>
            <w:vMerge w:val="continue"/>
            <w:vAlign w:val="center"/>
          </w:tcPr>
          <w:p>
            <w:pPr>
              <w:spacing w:line="320" w:lineRule="exact"/>
              <w:jc w:val="center"/>
              <w:rPr>
                <w:szCs w:val="21"/>
              </w:rPr>
            </w:pPr>
          </w:p>
        </w:tc>
        <w:tc>
          <w:tcPr>
            <w:tcW w:w="848" w:type="dxa"/>
            <w:vAlign w:val="center"/>
          </w:tcPr>
          <w:p>
            <w:pPr>
              <w:spacing w:line="320" w:lineRule="exact"/>
              <w:jc w:val="center"/>
              <w:rPr>
                <w:szCs w:val="21"/>
              </w:rPr>
            </w:pPr>
            <w:r>
              <w:rPr>
                <w:szCs w:val="21"/>
              </w:rPr>
              <w:t>物流仓储量</w:t>
            </w:r>
          </w:p>
        </w:tc>
        <w:tc>
          <w:tcPr>
            <w:tcW w:w="846" w:type="dxa"/>
            <w:vAlign w:val="center"/>
          </w:tcPr>
          <w:p>
            <w:pPr>
              <w:spacing w:line="320" w:lineRule="exact"/>
              <w:jc w:val="center"/>
              <w:rPr>
                <w:szCs w:val="21"/>
              </w:rPr>
            </w:pPr>
            <w:r>
              <w:rPr>
                <w:szCs w:val="21"/>
              </w:rPr>
              <w:t>配送量</w:t>
            </w:r>
          </w:p>
        </w:tc>
        <w:tc>
          <w:tcPr>
            <w:tcW w:w="1056" w:type="dxa"/>
            <w:vMerge w:val="continue"/>
            <w:vAlign w:val="center"/>
          </w:tcPr>
          <w:p>
            <w:pPr>
              <w:spacing w:line="320" w:lineRule="exact"/>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 w:type="dxa"/>
            <w:vAlign w:val="center"/>
          </w:tcPr>
          <w:p>
            <w:pPr>
              <w:spacing w:line="320" w:lineRule="exact"/>
              <w:jc w:val="center"/>
              <w:rPr>
                <w:szCs w:val="21"/>
              </w:rPr>
            </w:pPr>
            <w:r>
              <w:rPr>
                <w:szCs w:val="21"/>
              </w:rPr>
              <w:t>1</w:t>
            </w:r>
          </w:p>
        </w:tc>
        <w:tc>
          <w:tcPr>
            <w:tcW w:w="2174" w:type="dxa"/>
            <w:vAlign w:val="center"/>
          </w:tcPr>
          <w:p>
            <w:pPr>
              <w:spacing w:line="320" w:lineRule="exact"/>
              <w:jc w:val="center"/>
              <w:rPr>
                <w:szCs w:val="21"/>
              </w:rPr>
            </w:pPr>
            <w:r>
              <w:rPr>
                <w:szCs w:val="21"/>
              </w:rPr>
              <w:t>ASRS托盘堆垛机区</w:t>
            </w:r>
          </w:p>
        </w:tc>
        <w:tc>
          <w:tcPr>
            <w:tcW w:w="3178" w:type="dxa"/>
            <w:vAlign w:val="center"/>
          </w:tcPr>
          <w:p>
            <w:pPr>
              <w:spacing w:line="320" w:lineRule="exact"/>
              <w:jc w:val="center"/>
              <w:rPr>
                <w:szCs w:val="21"/>
              </w:rPr>
            </w:pPr>
            <w:r>
              <w:rPr>
                <w:szCs w:val="21"/>
              </w:rPr>
              <w:t>中件产品（小家电、百货等）</w:t>
            </w:r>
          </w:p>
        </w:tc>
        <w:tc>
          <w:tcPr>
            <w:tcW w:w="848" w:type="dxa"/>
            <w:vAlign w:val="center"/>
          </w:tcPr>
          <w:p>
            <w:pPr>
              <w:spacing w:line="320" w:lineRule="exact"/>
              <w:jc w:val="center"/>
              <w:rPr>
                <w:szCs w:val="21"/>
              </w:rPr>
            </w:pPr>
            <w:r>
              <w:rPr>
                <w:szCs w:val="21"/>
              </w:rPr>
              <w:t>38</w:t>
            </w:r>
          </w:p>
        </w:tc>
        <w:tc>
          <w:tcPr>
            <w:tcW w:w="846" w:type="dxa"/>
            <w:vAlign w:val="center"/>
          </w:tcPr>
          <w:p>
            <w:pPr>
              <w:spacing w:line="320" w:lineRule="exact"/>
              <w:jc w:val="center"/>
              <w:rPr>
                <w:szCs w:val="21"/>
              </w:rPr>
            </w:pPr>
            <w:r>
              <w:rPr>
                <w:szCs w:val="21"/>
              </w:rPr>
              <w:t>--</w:t>
            </w:r>
          </w:p>
        </w:tc>
        <w:tc>
          <w:tcPr>
            <w:tcW w:w="1056" w:type="dxa"/>
            <w:vAlign w:val="center"/>
          </w:tcPr>
          <w:p>
            <w:pPr>
              <w:spacing w:line="320" w:lineRule="exact"/>
              <w:jc w:val="center"/>
              <w:rPr>
                <w:szCs w:val="21"/>
              </w:rPr>
            </w:pPr>
            <w:r>
              <w:rPr>
                <w:szCs w:val="21"/>
              </w:rPr>
              <w:t>5840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 w:type="dxa"/>
            <w:vAlign w:val="center"/>
          </w:tcPr>
          <w:p>
            <w:pPr>
              <w:spacing w:line="320" w:lineRule="exact"/>
              <w:jc w:val="center"/>
              <w:rPr>
                <w:szCs w:val="21"/>
              </w:rPr>
            </w:pPr>
            <w:r>
              <w:rPr>
                <w:szCs w:val="21"/>
              </w:rPr>
              <w:t>2</w:t>
            </w:r>
          </w:p>
        </w:tc>
        <w:tc>
          <w:tcPr>
            <w:tcW w:w="2174" w:type="dxa"/>
            <w:vAlign w:val="center"/>
          </w:tcPr>
          <w:p>
            <w:pPr>
              <w:spacing w:line="320" w:lineRule="exact"/>
              <w:jc w:val="center"/>
              <w:rPr>
                <w:szCs w:val="21"/>
              </w:rPr>
            </w:pPr>
            <w:r>
              <w:rPr>
                <w:szCs w:val="21"/>
              </w:rPr>
              <w:t>Miniload箱式堆垛机区</w:t>
            </w:r>
          </w:p>
        </w:tc>
        <w:tc>
          <w:tcPr>
            <w:tcW w:w="3178" w:type="dxa"/>
            <w:vAlign w:val="center"/>
          </w:tcPr>
          <w:p>
            <w:pPr>
              <w:spacing w:line="320" w:lineRule="exact"/>
              <w:jc w:val="center"/>
              <w:rPr>
                <w:szCs w:val="21"/>
              </w:rPr>
            </w:pPr>
            <w:r>
              <w:rPr>
                <w:szCs w:val="21"/>
              </w:rPr>
              <w:t>小件产品及部分中件产品（3c、化妆品等）</w:t>
            </w:r>
          </w:p>
        </w:tc>
        <w:tc>
          <w:tcPr>
            <w:tcW w:w="848" w:type="dxa"/>
            <w:vAlign w:val="center"/>
          </w:tcPr>
          <w:p>
            <w:pPr>
              <w:spacing w:line="320" w:lineRule="exact"/>
              <w:jc w:val="center"/>
              <w:rPr>
                <w:szCs w:val="21"/>
              </w:rPr>
            </w:pPr>
            <w:r>
              <w:rPr>
                <w:szCs w:val="21"/>
              </w:rPr>
              <w:t>650</w:t>
            </w:r>
          </w:p>
        </w:tc>
        <w:tc>
          <w:tcPr>
            <w:tcW w:w="846" w:type="dxa"/>
            <w:vAlign w:val="center"/>
          </w:tcPr>
          <w:p>
            <w:pPr>
              <w:spacing w:line="320" w:lineRule="exact"/>
              <w:jc w:val="center"/>
              <w:rPr>
                <w:szCs w:val="21"/>
              </w:rPr>
            </w:pPr>
            <w:r>
              <w:rPr>
                <w:szCs w:val="21"/>
              </w:rPr>
              <w:t>--</w:t>
            </w:r>
          </w:p>
        </w:tc>
        <w:tc>
          <w:tcPr>
            <w:tcW w:w="1056" w:type="dxa"/>
            <w:vAlign w:val="center"/>
          </w:tcPr>
          <w:p>
            <w:pPr>
              <w:spacing w:line="320" w:lineRule="exact"/>
              <w:jc w:val="center"/>
              <w:rPr>
                <w:szCs w:val="21"/>
              </w:rPr>
            </w:pPr>
            <w:r>
              <w:rPr>
                <w:szCs w:val="21"/>
              </w:rPr>
              <w:t>5840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 w:type="dxa"/>
            <w:vAlign w:val="center"/>
          </w:tcPr>
          <w:p>
            <w:pPr>
              <w:spacing w:line="320" w:lineRule="exact"/>
              <w:jc w:val="center"/>
              <w:rPr>
                <w:szCs w:val="21"/>
              </w:rPr>
            </w:pPr>
            <w:r>
              <w:rPr>
                <w:szCs w:val="21"/>
              </w:rPr>
              <w:t>3</w:t>
            </w:r>
          </w:p>
        </w:tc>
        <w:tc>
          <w:tcPr>
            <w:tcW w:w="2174" w:type="dxa"/>
            <w:vAlign w:val="center"/>
          </w:tcPr>
          <w:p>
            <w:pPr>
              <w:spacing w:line="320" w:lineRule="exact"/>
              <w:jc w:val="center"/>
              <w:rPr>
                <w:szCs w:val="21"/>
              </w:rPr>
            </w:pPr>
            <w:r>
              <w:rPr>
                <w:szCs w:val="21"/>
              </w:rPr>
              <w:t>SCS自动旋转库区</w:t>
            </w:r>
          </w:p>
        </w:tc>
        <w:tc>
          <w:tcPr>
            <w:tcW w:w="3178" w:type="dxa"/>
            <w:vAlign w:val="center"/>
          </w:tcPr>
          <w:p>
            <w:pPr>
              <w:spacing w:line="320" w:lineRule="exact"/>
              <w:jc w:val="center"/>
              <w:rPr>
                <w:szCs w:val="21"/>
              </w:rPr>
            </w:pPr>
            <w:r>
              <w:rPr>
                <w:szCs w:val="21"/>
              </w:rPr>
              <w:t>小件产品（3c、化妆品等）</w:t>
            </w:r>
          </w:p>
        </w:tc>
        <w:tc>
          <w:tcPr>
            <w:tcW w:w="848" w:type="dxa"/>
            <w:vAlign w:val="center"/>
          </w:tcPr>
          <w:p>
            <w:pPr>
              <w:spacing w:line="320" w:lineRule="exact"/>
              <w:jc w:val="center"/>
              <w:rPr>
                <w:szCs w:val="21"/>
              </w:rPr>
            </w:pPr>
            <w:r>
              <w:rPr>
                <w:szCs w:val="21"/>
              </w:rPr>
              <w:t>164</w:t>
            </w:r>
          </w:p>
        </w:tc>
        <w:tc>
          <w:tcPr>
            <w:tcW w:w="846" w:type="dxa"/>
            <w:vAlign w:val="center"/>
          </w:tcPr>
          <w:p>
            <w:pPr>
              <w:spacing w:line="320" w:lineRule="exact"/>
              <w:jc w:val="center"/>
              <w:rPr>
                <w:szCs w:val="21"/>
              </w:rPr>
            </w:pPr>
            <w:r>
              <w:rPr>
                <w:szCs w:val="21"/>
              </w:rPr>
              <w:t>29</w:t>
            </w:r>
          </w:p>
        </w:tc>
        <w:tc>
          <w:tcPr>
            <w:tcW w:w="1056" w:type="dxa"/>
            <w:vAlign w:val="center"/>
          </w:tcPr>
          <w:p>
            <w:pPr>
              <w:spacing w:line="320" w:lineRule="exact"/>
              <w:jc w:val="center"/>
              <w:rPr>
                <w:szCs w:val="21"/>
              </w:rPr>
            </w:pPr>
            <w:r>
              <w:rPr>
                <w:szCs w:val="21"/>
              </w:rPr>
              <w:t>5840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 w:type="dxa"/>
            <w:vAlign w:val="center"/>
          </w:tcPr>
          <w:p>
            <w:pPr>
              <w:spacing w:line="320" w:lineRule="exact"/>
              <w:jc w:val="center"/>
              <w:rPr>
                <w:szCs w:val="21"/>
              </w:rPr>
            </w:pPr>
            <w:r>
              <w:rPr>
                <w:szCs w:val="21"/>
              </w:rPr>
              <w:t>4</w:t>
            </w:r>
          </w:p>
        </w:tc>
        <w:tc>
          <w:tcPr>
            <w:tcW w:w="2174" w:type="dxa"/>
            <w:vAlign w:val="center"/>
          </w:tcPr>
          <w:p>
            <w:pPr>
              <w:spacing w:line="320" w:lineRule="exact"/>
              <w:jc w:val="center"/>
              <w:rPr>
                <w:szCs w:val="21"/>
              </w:rPr>
            </w:pPr>
            <w:r>
              <w:rPr>
                <w:szCs w:val="21"/>
              </w:rPr>
              <w:t>A字架区</w:t>
            </w:r>
          </w:p>
        </w:tc>
        <w:tc>
          <w:tcPr>
            <w:tcW w:w="3178" w:type="dxa"/>
            <w:vAlign w:val="center"/>
          </w:tcPr>
          <w:p>
            <w:pPr>
              <w:spacing w:line="320" w:lineRule="exact"/>
              <w:jc w:val="center"/>
              <w:rPr>
                <w:szCs w:val="21"/>
              </w:rPr>
            </w:pPr>
            <w:r>
              <w:rPr>
                <w:szCs w:val="21"/>
              </w:rPr>
              <w:t>小件产品（3c、化妆品等）</w:t>
            </w:r>
          </w:p>
        </w:tc>
        <w:tc>
          <w:tcPr>
            <w:tcW w:w="848" w:type="dxa"/>
            <w:vAlign w:val="center"/>
          </w:tcPr>
          <w:p>
            <w:pPr>
              <w:spacing w:line="320" w:lineRule="exact"/>
              <w:jc w:val="center"/>
              <w:rPr>
                <w:szCs w:val="21"/>
              </w:rPr>
            </w:pPr>
            <w:r>
              <w:rPr>
                <w:szCs w:val="21"/>
              </w:rPr>
              <w:t>13</w:t>
            </w:r>
          </w:p>
        </w:tc>
        <w:tc>
          <w:tcPr>
            <w:tcW w:w="846" w:type="dxa"/>
            <w:vAlign w:val="center"/>
          </w:tcPr>
          <w:p>
            <w:pPr>
              <w:spacing w:line="320" w:lineRule="exact"/>
              <w:jc w:val="center"/>
              <w:rPr>
                <w:szCs w:val="21"/>
              </w:rPr>
            </w:pPr>
            <w:r>
              <w:rPr>
                <w:szCs w:val="21"/>
              </w:rPr>
              <w:t>5.7</w:t>
            </w:r>
          </w:p>
        </w:tc>
        <w:tc>
          <w:tcPr>
            <w:tcW w:w="1056" w:type="dxa"/>
            <w:vAlign w:val="center"/>
          </w:tcPr>
          <w:p>
            <w:pPr>
              <w:spacing w:line="320" w:lineRule="exact"/>
              <w:jc w:val="center"/>
              <w:rPr>
                <w:szCs w:val="21"/>
              </w:rPr>
            </w:pPr>
            <w:r>
              <w:rPr>
                <w:szCs w:val="21"/>
              </w:rPr>
              <w:t>5840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 w:type="dxa"/>
            <w:vAlign w:val="center"/>
          </w:tcPr>
          <w:p>
            <w:pPr>
              <w:spacing w:line="320" w:lineRule="exact"/>
              <w:jc w:val="center"/>
              <w:rPr>
                <w:szCs w:val="21"/>
              </w:rPr>
            </w:pPr>
            <w:r>
              <w:rPr>
                <w:szCs w:val="21"/>
              </w:rPr>
              <w:t>5</w:t>
            </w:r>
          </w:p>
        </w:tc>
        <w:tc>
          <w:tcPr>
            <w:tcW w:w="2174" w:type="dxa"/>
            <w:vAlign w:val="center"/>
          </w:tcPr>
          <w:p>
            <w:pPr>
              <w:spacing w:line="320" w:lineRule="exact"/>
              <w:jc w:val="center"/>
              <w:rPr>
                <w:szCs w:val="21"/>
              </w:rPr>
            </w:pPr>
            <w:r>
              <w:rPr>
                <w:szCs w:val="21"/>
              </w:rPr>
              <w:t>KDR流利货架区</w:t>
            </w:r>
          </w:p>
        </w:tc>
        <w:tc>
          <w:tcPr>
            <w:tcW w:w="3178" w:type="dxa"/>
            <w:vAlign w:val="center"/>
          </w:tcPr>
          <w:p>
            <w:pPr>
              <w:spacing w:line="320" w:lineRule="exact"/>
              <w:jc w:val="center"/>
              <w:rPr>
                <w:szCs w:val="21"/>
              </w:rPr>
            </w:pPr>
            <w:r>
              <w:rPr>
                <w:szCs w:val="21"/>
              </w:rPr>
              <w:t>小件产品（3c、化妆品等）</w:t>
            </w:r>
          </w:p>
        </w:tc>
        <w:tc>
          <w:tcPr>
            <w:tcW w:w="848" w:type="dxa"/>
            <w:vAlign w:val="center"/>
          </w:tcPr>
          <w:p>
            <w:pPr>
              <w:spacing w:line="320" w:lineRule="exact"/>
              <w:jc w:val="center"/>
              <w:rPr>
                <w:szCs w:val="21"/>
              </w:rPr>
            </w:pPr>
            <w:r>
              <w:rPr>
                <w:szCs w:val="21"/>
              </w:rPr>
              <w:t>44</w:t>
            </w:r>
          </w:p>
        </w:tc>
        <w:tc>
          <w:tcPr>
            <w:tcW w:w="846" w:type="dxa"/>
            <w:vAlign w:val="center"/>
          </w:tcPr>
          <w:p>
            <w:pPr>
              <w:spacing w:line="320" w:lineRule="exact"/>
              <w:jc w:val="center"/>
              <w:rPr>
                <w:szCs w:val="21"/>
              </w:rPr>
            </w:pPr>
            <w:r>
              <w:rPr>
                <w:szCs w:val="21"/>
              </w:rPr>
              <w:t>8.4</w:t>
            </w:r>
          </w:p>
        </w:tc>
        <w:tc>
          <w:tcPr>
            <w:tcW w:w="1056" w:type="dxa"/>
            <w:vAlign w:val="center"/>
          </w:tcPr>
          <w:p>
            <w:pPr>
              <w:spacing w:line="320" w:lineRule="exact"/>
              <w:jc w:val="center"/>
              <w:rPr>
                <w:szCs w:val="21"/>
              </w:rPr>
            </w:pPr>
            <w:r>
              <w:rPr>
                <w:szCs w:val="21"/>
              </w:rPr>
              <w:t>5840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 w:type="dxa"/>
            <w:vAlign w:val="center"/>
          </w:tcPr>
          <w:p>
            <w:pPr>
              <w:spacing w:line="320" w:lineRule="exact"/>
              <w:jc w:val="center"/>
              <w:rPr>
                <w:szCs w:val="21"/>
              </w:rPr>
            </w:pPr>
            <w:r>
              <w:rPr>
                <w:szCs w:val="21"/>
              </w:rPr>
              <w:t>6</w:t>
            </w:r>
          </w:p>
        </w:tc>
        <w:tc>
          <w:tcPr>
            <w:tcW w:w="2174" w:type="dxa"/>
            <w:vAlign w:val="center"/>
          </w:tcPr>
          <w:p>
            <w:pPr>
              <w:spacing w:line="320" w:lineRule="exact"/>
              <w:jc w:val="center"/>
              <w:rPr>
                <w:szCs w:val="21"/>
              </w:rPr>
            </w:pPr>
            <w:r>
              <w:rPr>
                <w:szCs w:val="21"/>
              </w:rPr>
              <w:t>阁楼货架区</w:t>
            </w:r>
          </w:p>
        </w:tc>
        <w:tc>
          <w:tcPr>
            <w:tcW w:w="3178" w:type="dxa"/>
            <w:vAlign w:val="center"/>
          </w:tcPr>
          <w:p>
            <w:pPr>
              <w:spacing w:line="320" w:lineRule="exact"/>
              <w:jc w:val="center"/>
              <w:rPr>
                <w:szCs w:val="21"/>
              </w:rPr>
            </w:pPr>
            <w:r>
              <w:rPr>
                <w:szCs w:val="21"/>
              </w:rPr>
              <w:t>小件产品（3c、化妆品等）</w:t>
            </w:r>
          </w:p>
        </w:tc>
        <w:tc>
          <w:tcPr>
            <w:tcW w:w="848" w:type="dxa"/>
            <w:vAlign w:val="center"/>
          </w:tcPr>
          <w:p>
            <w:pPr>
              <w:spacing w:line="320" w:lineRule="exact"/>
              <w:jc w:val="center"/>
              <w:rPr>
                <w:szCs w:val="21"/>
              </w:rPr>
            </w:pPr>
            <w:r>
              <w:rPr>
                <w:szCs w:val="21"/>
              </w:rPr>
              <w:t>573</w:t>
            </w:r>
          </w:p>
        </w:tc>
        <w:tc>
          <w:tcPr>
            <w:tcW w:w="846" w:type="dxa"/>
            <w:vAlign w:val="center"/>
          </w:tcPr>
          <w:p>
            <w:pPr>
              <w:spacing w:line="320" w:lineRule="exact"/>
              <w:jc w:val="center"/>
              <w:rPr>
                <w:szCs w:val="21"/>
              </w:rPr>
            </w:pPr>
            <w:r>
              <w:rPr>
                <w:szCs w:val="21"/>
              </w:rPr>
              <w:t>25</w:t>
            </w:r>
          </w:p>
        </w:tc>
        <w:tc>
          <w:tcPr>
            <w:tcW w:w="1056" w:type="dxa"/>
            <w:vAlign w:val="center"/>
          </w:tcPr>
          <w:p>
            <w:pPr>
              <w:spacing w:line="320" w:lineRule="exact"/>
              <w:jc w:val="center"/>
              <w:rPr>
                <w:szCs w:val="21"/>
              </w:rPr>
            </w:pPr>
            <w:r>
              <w:rPr>
                <w:szCs w:val="21"/>
              </w:rPr>
              <w:t>5840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 w:type="dxa"/>
            <w:vAlign w:val="center"/>
          </w:tcPr>
          <w:p>
            <w:pPr>
              <w:spacing w:line="320" w:lineRule="exact"/>
              <w:jc w:val="center"/>
              <w:rPr>
                <w:szCs w:val="21"/>
              </w:rPr>
            </w:pPr>
            <w:r>
              <w:rPr>
                <w:szCs w:val="21"/>
              </w:rPr>
              <w:t>7</w:t>
            </w:r>
          </w:p>
        </w:tc>
        <w:tc>
          <w:tcPr>
            <w:tcW w:w="2174" w:type="dxa"/>
            <w:vAlign w:val="center"/>
          </w:tcPr>
          <w:p>
            <w:pPr>
              <w:spacing w:line="320" w:lineRule="exact"/>
              <w:jc w:val="center"/>
              <w:rPr>
                <w:szCs w:val="21"/>
              </w:rPr>
            </w:pPr>
            <w:r>
              <w:rPr>
                <w:szCs w:val="21"/>
              </w:rPr>
              <w:t>箱式流利架+托盘区</w:t>
            </w:r>
          </w:p>
        </w:tc>
        <w:tc>
          <w:tcPr>
            <w:tcW w:w="3178" w:type="dxa"/>
            <w:vAlign w:val="center"/>
          </w:tcPr>
          <w:p>
            <w:pPr>
              <w:spacing w:line="320" w:lineRule="exact"/>
              <w:jc w:val="center"/>
              <w:rPr>
                <w:szCs w:val="21"/>
              </w:rPr>
            </w:pPr>
            <w:r>
              <w:rPr>
                <w:szCs w:val="21"/>
              </w:rPr>
              <w:t>中件产品（小家电、百货等）</w:t>
            </w:r>
          </w:p>
        </w:tc>
        <w:tc>
          <w:tcPr>
            <w:tcW w:w="848" w:type="dxa"/>
            <w:vAlign w:val="center"/>
          </w:tcPr>
          <w:p>
            <w:pPr>
              <w:spacing w:line="320" w:lineRule="exact"/>
              <w:jc w:val="center"/>
              <w:rPr>
                <w:szCs w:val="21"/>
              </w:rPr>
            </w:pPr>
            <w:r>
              <w:rPr>
                <w:szCs w:val="21"/>
              </w:rPr>
              <w:t>24</w:t>
            </w:r>
          </w:p>
        </w:tc>
        <w:tc>
          <w:tcPr>
            <w:tcW w:w="846" w:type="dxa"/>
            <w:vAlign w:val="center"/>
          </w:tcPr>
          <w:p>
            <w:pPr>
              <w:spacing w:line="320" w:lineRule="exact"/>
              <w:jc w:val="center"/>
              <w:rPr>
                <w:szCs w:val="21"/>
              </w:rPr>
            </w:pPr>
            <w:r>
              <w:rPr>
                <w:szCs w:val="21"/>
              </w:rPr>
              <w:t>1</w:t>
            </w:r>
          </w:p>
        </w:tc>
        <w:tc>
          <w:tcPr>
            <w:tcW w:w="1056" w:type="dxa"/>
            <w:vAlign w:val="center"/>
          </w:tcPr>
          <w:p>
            <w:pPr>
              <w:spacing w:line="320" w:lineRule="exact"/>
              <w:jc w:val="center"/>
              <w:rPr>
                <w:szCs w:val="21"/>
              </w:rPr>
            </w:pPr>
            <w:r>
              <w:rPr>
                <w:szCs w:val="21"/>
              </w:rPr>
              <w:t>5840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 w:type="dxa"/>
            <w:vAlign w:val="center"/>
          </w:tcPr>
          <w:p>
            <w:pPr>
              <w:spacing w:line="320" w:lineRule="exact"/>
              <w:jc w:val="center"/>
              <w:rPr>
                <w:szCs w:val="21"/>
              </w:rPr>
            </w:pPr>
            <w:r>
              <w:rPr>
                <w:szCs w:val="21"/>
              </w:rPr>
              <w:t>8</w:t>
            </w:r>
          </w:p>
        </w:tc>
        <w:tc>
          <w:tcPr>
            <w:tcW w:w="2174" w:type="dxa"/>
            <w:vAlign w:val="center"/>
          </w:tcPr>
          <w:p>
            <w:pPr>
              <w:spacing w:line="320" w:lineRule="exact"/>
              <w:jc w:val="center"/>
              <w:rPr>
                <w:szCs w:val="21"/>
              </w:rPr>
            </w:pPr>
            <w:r>
              <w:rPr>
                <w:szCs w:val="21"/>
              </w:rPr>
              <w:t>中件PTB托盘地堆区</w:t>
            </w:r>
          </w:p>
        </w:tc>
        <w:tc>
          <w:tcPr>
            <w:tcW w:w="3178" w:type="dxa"/>
            <w:vAlign w:val="center"/>
          </w:tcPr>
          <w:p>
            <w:pPr>
              <w:spacing w:line="320" w:lineRule="exact"/>
              <w:jc w:val="center"/>
              <w:rPr>
                <w:szCs w:val="21"/>
              </w:rPr>
            </w:pPr>
            <w:r>
              <w:rPr>
                <w:szCs w:val="21"/>
              </w:rPr>
              <w:t>中件产品（小家电、百货等）</w:t>
            </w:r>
          </w:p>
        </w:tc>
        <w:tc>
          <w:tcPr>
            <w:tcW w:w="848" w:type="dxa"/>
            <w:vAlign w:val="center"/>
          </w:tcPr>
          <w:p>
            <w:pPr>
              <w:spacing w:line="320" w:lineRule="exact"/>
              <w:jc w:val="center"/>
              <w:rPr>
                <w:szCs w:val="21"/>
              </w:rPr>
            </w:pPr>
            <w:r>
              <w:rPr>
                <w:szCs w:val="21"/>
              </w:rPr>
              <w:t>15</w:t>
            </w:r>
          </w:p>
        </w:tc>
        <w:tc>
          <w:tcPr>
            <w:tcW w:w="846" w:type="dxa"/>
            <w:vAlign w:val="center"/>
          </w:tcPr>
          <w:p>
            <w:pPr>
              <w:spacing w:line="320" w:lineRule="exact"/>
              <w:jc w:val="center"/>
              <w:rPr>
                <w:szCs w:val="21"/>
              </w:rPr>
            </w:pPr>
            <w:r>
              <w:rPr>
                <w:szCs w:val="21"/>
              </w:rPr>
              <w:t>2</w:t>
            </w:r>
          </w:p>
        </w:tc>
        <w:tc>
          <w:tcPr>
            <w:tcW w:w="1056" w:type="dxa"/>
            <w:vAlign w:val="center"/>
          </w:tcPr>
          <w:p>
            <w:pPr>
              <w:spacing w:line="320" w:lineRule="exact"/>
              <w:jc w:val="center"/>
              <w:rPr>
                <w:szCs w:val="21"/>
              </w:rPr>
            </w:pPr>
            <w:r>
              <w:rPr>
                <w:szCs w:val="21"/>
              </w:rPr>
              <w:t>5840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 w:type="dxa"/>
            <w:vAlign w:val="center"/>
          </w:tcPr>
          <w:p>
            <w:pPr>
              <w:spacing w:line="320" w:lineRule="exact"/>
              <w:jc w:val="center"/>
              <w:rPr>
                <w:szCs w:val="21"/>
              </w:rPr>
            </w:pPr>
            <w:r>
              <w:rPr>
                <w:szCs w:val="21"/>
              </w:rPr>
              <w:t>9</w:t>
            </w:r>
          </w:p>
        </w:tc>
        <w:tc>
          <w:tcPr>
            <w:tcW w:w="2174" w:type="dxa"/>
            <w:vAlign w:val="center"/>
          </w:tcPr>
          <w:p>
            <w:pPr>
              <w:spacing w:line="320" w:lineRule="exact"/>
              <w:jc w:val="center"/>
              <w:rPr>
                <w:szCs w:val="21"/>
              </w:rPr>
            </w:pPr>
            <w:r>
              <w:rPr>
                <w:szCs w:val="21"/>
              </w:rPr>
              <w:t>异形品区</w:t>
            </w:r>
          </w:p>
        </w:tc>
        <w:tc>
          <w:tcPr>
            <w:tcW w:w="3178" w:type="dxa"/>
            <w:vAlign w:val="center"/>
          </w:tcPr>
          <w:p>
            <w:pPr>
              <w:spacing w:line="320" w:lineRule="exact"/>
              <w:jc w:val="center"/>
              <w:rPr>
                <w:szCs w:val="21"/>
              </w:rPr>
            </w:pPr>
            <w:r>
              <w:rPr>
                <w:szCs w:val="21"/>
              </w:rPr>
              <w:t>异形品（拖把、书桌等）</w:t>
            </w:r>
          </w:p>
        </w:tc>
        <w:tc>
          <w:tcPr>
            <w:tcW w:w="848" w:type="dxa"/>
            <w:vAlign w:val="center"/>
          </w:tcPr>
          <w:p>
            <w:pPr>
              <w:spacing w:line="320" w:lineRule="exact"/>
              <w:jc w:val="center"/>
              <w:rPr>
                <w:szCs w:val="21"/>
              </w:rPr>
            </w:pPr>
            <w:r>
              <w:rPr>
                <w:szCs w:val="21"/>
              </w:rPr>
              <w:t>27</w:t>
            </w:r>
          </w:p>
        </w:tc>
        <w:tc>
          <w:tcPr>
            <w:tcW w:w="846" w:type="dxa"/>
            <w:vAlign w:val="center"/>
          </w:tcPr>
          <w:p>
            <w:pPr>
              <w:spacing w:line="320" w:lineRule="exact"/>
              <w:jc w:val="center"/>
              <w:rPr>
                <w:szCs w:val="21"/>
              </w:rPr>
            </w:pPr>
            <w:r>
              <w:rPr>
                <w:szCs w:val="21"/>
              </w:rPr>
              <w:t>1.4</w:t>
            </w:r>
          </w:p>
        </w:tc>
        <w:tc>
          <w:tcPr>
            <w:tcW w:w="1056" w:type="dxa"/>
            <w:vAlign w:val="center"/>
          </w:tcPr>
          <w:p>
            <w:pPr>
              <w:spacing w:line="320" w:lineRule="exact"/>
              <w:jc w:val="center"/>
              <w:rPr>
                <w:szCs w:val="21"/>
              </w:rPr>
            </w:pPr>
            <w:r>
              <w:rPr>
                <w:szCs w:val="21"/>
              </w:rPr>
              <w:t>5840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 w:type="dxa"/>
            <w:vAlign w:val="center"/>
          </w:tcPr>
          <w:p>
            <w:pPr>
              <w:spacing w:line="320" w:lineRule="exact"/>
              <w:jc w:val="center"/>
              <w:rPr>
                <w:szCs w:val="21"/>
              </w:rPr>
            </w:pPr>
            <w:r>
              <w:rPr>
                <w:szCs w:val="21"/>
              </w:rPr>
              <w:t>10</w:t>
            </w:r>
          </w:p>
        </w:tc>
        <w:tc>
          <w:tcPr>
            <w:tcW w:w="2174" w:type="dxa"/>
            <w:vAlign w:val="center"/>
          </w:tcPr>
          <w:p>
            <w:pPr>
              <w:spacing w:line="320" w:lineRule="exact"/>
              <w:jc w:val="center"/>
              <w:rPr>
                <w:szCs w:val="21"/>
              </w:rPr>
            </w:pPr>
            <w:r>
              <w:rPr>
                <w:szCs w:val="21"/>
              </w:rPr>
              <w:t>分拣中心</w:t>
            </w:r>
          </w:p>
        </w:tc>
        <w:tc>
          <w:tcPr>
            <w:tcW w:w="3178" w:type="dxa"/>
            <w:vAlign w:val="center"/>
          </w:tcPr>
          <w:p>
            <w:pPr>
              <w:spacing w:line="320" w:lineRule="exact"/>
              <w:jc w:val="center"/>
              <w:rPr>
                <w:szCs w:val="21"/>
              </w:rPr>
            </w:pPr>
            <w:r>
              <w:rPr>
                <w:szCs w:val="21"/>
              </w:rPr>
              <w:t>退货、中转、越库、快递等业务</w:t>
            </w:r>
          </w:p>
        </w:tc>
        <w:tc>
          <w:tcPr>
            <w:tcW w:w="848" w:type="dxa"/>
            <w:vAlign w:val="center"/>
          </w:tcPr>
          <w:p>
            <w:pPr>
              <w:spacing w:line="320" w:lineRule="exact"/>
              <w:jc w:val="center"/>
              <w:rPr>
                <w:szCs w:val="21"/>
              </w:rPr>
            </w:pPr>
            <w:r>
              <w:rPr>
                <w:szCs w:val="21"/>
              </w:rPr>
              <w:t>--</w:t>
            </w:r>
          </w:p>
        </w:tc>
        <w:tc>
          <w:tcPr>
            <w:tcW w:w="846" w:type="dxa"/>
            <w:vAlign w:val="center"/>
          </w:tcPr>
          <w:p>
            <w:pPr>
              <w:spacing w:line="320" w:lineRule="exact"/>
              <w:jc w:val="center"/>
              <w:rPr>
                <w:szCs w:val="21"/>
              </w:rPr>
            </w:pPr>
            <w:r>
              <w:rPr>
                <w:szCs w:val="21"/>
              </w:rPr>
              <w:t>22</w:t>
            </w:r>
          </w:p>
        </w:tc>
        <w:tc>
          <w:tcPr>
            <w:tcW w:w="1056" w:type="dxa"/>
            <w:vAlign w:val="center"/>
          </w:tcPr>
          <w:p>
            <w:pPr>
              <w:spacing w:line="320" w:lineRule="exact"/>
              <w:jc w:val="center"/>
              <w:rPr>
                <w:szCs w:val="21"/>
              </w:rPr>
            </w:pPr>
            <w:r>
              <w:rPr>
                <w:szCs w:val="21"/>
              </w:rPr>
              <w:t>5840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 w:type="dxa"/>
            <w:vAlign w:val="center"/>
          </w:tcPr>
          <w:p>
            <w:pPr>
              <w:spacing w:line="320" w:lineRule="exact"/>
              <w:jc w:val="center"/>
              <w:rPr>
                <w:szCs w:val="21"/>
              </w:rPr>
            </w:pPr>
          </w:p>
        </w:tc>
        <w:tc>
          <w:tcPr>
            <w:tcW w:w="2174" w:type="dxa"/>
            <w:vAlign w:val="center"/>
          </w:tcPr>
          <w:p>
            <w:pPr>
              <w:spacing w:line="320" w:lineRule="exact"/>
              <w:jc w:val="center"/>
              <w:rPr>
                <w:szCs w:val="21"/>
              </w:rPr>
            </w:pPr>
            <w:r>
              <w:rPr>
                <w:szCs w:val="21"/>
              </w:rPr>
              <w:t>总计</w:t>
            </w:r>
          </w:p>
        </w:tc>
        <w:tc>
          <w:tcPr>
            <w:tcW w:w="3178" w:type="dxa"/>
            <w:vAlign w:val="center"/>
          </w:tcPr>
          <w:p>
            <w:pPr>
              <w:spacing w:line="320" w:lineRule="exact"/>
              <w:jc w:val="center"/>
              <w:rPr>
                <w:szCs w:val="21"/>
              </w:rPr>
            </w:pPr>
            <w:r>
              <w:rPr>
                <w:rFonts w:hint="eastAsia"/>
                <w:szCs w:val="21"/>
              </w:rPr>
              <w:t>/</w:t>
            </w:r>
          </w:p>
        </w:tc>
        <w:tc>
          <w:tcPr>
            <w:tcW w:w="848" w:type="dxa"/>
            <w:vAlign w:val="center"/>
          </w:tcPr>
          <w:p>
            <w:pPr>
              <w:spacing w:line="320" w:lineRule="exact"/>
              <w:jc w:val="center"/>
              <w:rPr>
                <w:szCs w:val="21"/>
              </w:rPr>
            </w:pPr>
            <w:r>
              <w:rPr>
                <w:szCs w:val="21"/>
              </w:rPr>
              <w:t>1548</w:t>
            </w:r>
          </w:p>
        </w:tc>
        <w:tc>
          <w:tcPr>
            <w:tcW w:w="846" w:type="dxa"/>
            <w:vAlign w:val="center"/>
          </w:tcPr>
          <w:p>
            <w:pPr>
              <w:spacing w:line="320" w:lineRule="exact"/>
              <w:jc w:val="center"/>
              <w:rPr>
                <w:szCs w:val="21"/>
              </w:rPr>
            </w:pPr>
            <w:r>
              <w:rPr>
                <w:szCs w:val="21"/>
              </w:rPr>
              <w:t>95</w:t>
            </w:r>
          </w:p>
        </w:tc>
        <w:tc>
          <w:tcPr>
            <w:tcW w:w="1056" w:type="dxa"/>
            <w:vAlign w:val="center"/>
          </w:tcPr>
          <w:p>
            <w:pPr>
              <w:spacing w:line="320" w:lineRule="exact"/>
              <w:jc w:val="center"/>
              <w:rPr>
                <w:szCs w:val="21"/>
              </w:rPr>
            </w:pPr>
          </w:p>
        </w:tc>
      </w:tr>
    </w:tbl>
    <w:p>
      <w:pPr>
        <w:adjustRightInd w:val="0"/>
        <w:snapToGrid w:val="0"/>
        <w:jc w:val="center"/>
        <w:rPr>
          <w:b/>
          <w:sz w:val="24"/>
        </w:rPr>
      </w:pPr>
    </w:p>
    <w:p>
      <w:pPr>
        <w:adjustRightInd w:val="0"/>
        <w:snapToGrid w:val="0"/>
        <w:spacing w:line="360" w:lineRule="auto"/>
        <w:ind w:firstLine="480" w:firstLineChars="200"/>
        <w:rPr>
          <w:sz w:val="24"/>
        </w:rPr>
      </w:pPr>
      <w:r>
        <w:rPr>
          <w:sz w:val="24"/>
        </w:rPr>
        <w:t>（2）建设内容</w:t>
      </w:r>
    </w:p>
    <w:p>
      <w:pPr>
        <w:adjustRightInd w:val="0"/>
        <w:snapToGrid w:val="0"/>
        <w:spacing w:line="360" w:lineRule="auto"/>
        <w:ind w:firstLine="480" w:firstLineChars="200"/>
        <w:rPr>
          <w:sz w:val="24"/>
        </w:rPr>
      </w:pPr>
      <w:r>
        <w:rPr>
          <w:sz w:val="24"/>
        </w:rPr>
        <w:t>本项目规划占地面积为</w:t>
      </w:r>
      <w:r>
        <w:rPr>
          <w:rFonts w:hint="eastAsia"/>
          <w:sz w:val="24"/>
        </w:rPr>
        <w:t>396449</w:t>
      </w:r>
      <w:r>
        <w:rPr>
          <w:sz w:val="24"/>
        </w:rPr>
        <w:t>m</w:t>
      </w:r>
      <w:r>
        <w:rPr>
          <w:sz w:val="24"/>
          <w:vertAlign w:val="superscript"/>
        </w:rPr>
        <w:t>2</w:t>
      </w:r>
      <w:r>
        <w:rPr>
          <w:sz w:val="24"/>
        </w:rPr>
        <w:t>（</w:t>
      </w:r>
      <w:r>
        <w:rPr>
          <w:rFonts w:hint="eastAsia"/>
          <w:sz w:val="24"/>
        </w:rPr>
        <w:t>约594.57</w:t>
      </w:r>
      <w:r>
        <w:rPr>
          <w:sz w:val="24"/>
        </w:rPr>
        <w:t>亩），总建筑面积为</w:t>
      </w:r>
      <w:r>
        <w:rPr>
          <w:rFonts w:hint="eastAsia"/>
          <w:sz w:val="24"/>
        </w:rPr>
        <w:t>516562.44</w:t>
      </w:r>
      <w:r>
        <w:rPr>
          <w:sz w:val="24"/>
        </w:rPr>
        <w:t>m</w:t>
      </w:r>
      <w:r>
        <w:rPr>
          <w:sz w:val="24"/>
          <w:vertAlign w:val="superscript"/>
        </w:rPr>
        <w:t>2</w:t>
      </w:r>
      <w:r>
        <w:rPr>
          <w:sz w:val="24"/>
        </w:rPr>
        <w:t>。该项目建设内容主要包括：</w:t>
      </w:r>
    </w:p>
    <w:p>
      <w:pPr>
        <w:adjustRightInd w:val="0"/>
        <w:snapToGrid w:val="0"/>
        <w:spacing w:line="360" w:lineRule="auto"/>
        <w:ind w:firstLine="480" w:firstLineChars="200"/>
        <w:rPr>
          <w:sz w:val="24"/>
        </w:rPr>
      </w:pPr>
      <w:r>
        <w:rPr>
          <w:sz w:val="24"/>
        </w:rPr>
        <w:t>a.仓储</w:t>
      </w:r>
      <w:r>
        <w:rPr>
          <w:rFonts w:hint="eastAsia"/>
          <w:sz w:val="24"/>
        </w:rPr>
        <w:t>物流</w:t>
      </w:r>
      <w:r>
        <w:rPr>
          <w:sz w:val="24"/>
        </w:rPr>
        <w:t>区：</w:t>
      </w:r>
      <w:r>
        <w:rPr>
          <w:rFonts w:hint="eastAsia"/>
          <w:sz w:val="24"/>
        </w:rPr>
        <w:t>建筑面积约193842.09m</w:t>
      </w:r>
      <w:r>
        <w:rPr>
          <w:rFonts w:hint="eastAsia"/>
          <w:sz w:val="24"/>
          <w:vertAlign w:val="superscript"/>
        </w:rPr>
        <w:t>2</w:t>
      </w:r>
      <w:r>
        <w:rPr>
          <w:rFonts w:hint="eastAsia"/>
          <w:sz w:val="24"/>
        </w:rPr>
        <w:t>，包括1~4#共4座仓储仓库及一座分拣中心</w:t>
      </w:r>
      <w:r>
        <w:rPr>
          <w:sz w:val="24"/>
        </w:rPr>
        <w:t>；</w:t>
      </w:r>
    </w:p>
    <w:p>
      <w:pPr>
        <w:adjustRightInd w:val="0"/>
        <w:snapToGrid w:val="0"/>
        <w:spacing w:line="360" w:lineRule="auto"/>
        <w:ind w:firstLine="480" w:firstLineChars="200"/>
        <w:rPr>
          <w:rFonts w:hint="eastAsia"/>
          <w:sz w:val="24"/>
        </w:rPr>
      </w:pPr>
      <w:r>
        <w:rPr>
          <w:sz w:val="24"/>
        </w:rPr>
        <w:t>b.</w:t>
      </w:r>
      <w:r>
        <w:rPr>
          <w:rFonts w:hint="eastAsia"/>
          <w:sz w:val="24"/>
        </w:rPr>
        <w:t>研发办公</w:t>
      </w:r>
      <w:r>
        <w:rPr>
          <w:sz w:val="24"/>
        </w:rPr>
        <w:t>区：</w:t>
      </w:r>
      <w:r>
        <w:rPr>
          <w:rFonts w:hint="eastAsia"/>
          <w:sz w:val="24"/>
        </w:rPr>
        <w:t>建筑面积约322720.35m</w:t>
      </w:r>
      <w:r>
        <w:rPr>
          <w:rFonts w:hint="eastAsia"/>
          <w:sz w:val="24"/>
          <w:vertAlign w:val="superscript"/>
        </w:rPr>
        <w:t>2</w:t>
      </w:r>
      <w:r>
        <w:rPr>
          <w:rFonts w:hint="eastAsia"/>
          <w:sz w:val="24"/>
        </w:rPr>
        <w:t>，研发办公区位于地块北部及西南侧，研发楼主要功能为物流配送研发办公用房，包括物流软件研发、网站维护、数据中心及资料库，</w:t>
      </w:r>
      <w:r>
        <w:rPr>
          <w:rFonts w:hint="eastAsia"/>
          <w:b/>
          <w:sz w:val="24"/>
        </w:rPr>
        <w:t>无工业生产，不建设食堂</w:t>
      </w:r>
      <w:r>
        <w:rPr>
          <w:sz w:val="24"/>
        </w:rPr>
        <w:t>。</w:t>
      </w:r>
    </w:p>
    <w:p>
      <w:pPr>
        <w:adjustRightInd w:val="0"/>
        <w:snapToGrid w:val="0"/>
        <w:spacing w:line="360" w:lineRule="auto"/>
        <w:ind w:firstLine="480" w:firstLineChars="200"/>
        <w:rPr>
          <w:sz w:val="24"/>
        </w:rPr>
      </w:pPr>
      <w:r>
        <w:rPr>
          <w:rFonts w:hint="eastAsia"/>
          <w:sz w:val="24"/>
        </w:rPr>
        <w:t>建设</w:t>
      </w:r>
      <w:r>
        <w:rPr>
          <w:sz w:val="24"/>
        </w:rPr>
        <w:t>项目主要技术经济指标见表</w:t>
      </w:r>
      <w:r>
        <w:rPr>
          <w:rFonts w:hint="eastAsia"/>
          <w:sz w:val="24"/>
        </w:rPr>
        <w:t>2</w:t>
      </w:r>
      <w:r>
        <w:rPr>
          <w:sz w:val="24"/>
        </w:rPr>
        <w:t>.1-</w:t>
      </w:r>
      <w:r>
        <w:rPr>
          <w:rFonts w:hint="eastAsia"/>
          <w:sz w:val="24"/>
        </w:rPr>
        <w:t>2</w:t>
      </w:r>
      <w:r>
        <w:rPr>
          <w:sz w:val="24"/>
        </w:rPr>
        <w:t>。</w:t>
      </w:r>
    </w:p>
    <w:p>
      <w:pPr>
        <w:adjustRightInd w:val="0"/>
        <w:snapToGrid w:val="0"/>
        <w:ind w:firstLine="422" w:firstLineChars="200"/>
        <w:jc w:val="center"/>
        <w:rPr>
          <w:rFonts w:hint="eastAsia"/>
          <w:b/>
        </w:rPr>
      </w:pPr>
      <w:r>
        <w:rPr>
          <w:b/>
        </w:rPr>
        <w:t>表</w:t>
      </w:r>
      <w:r>
        <w:rPr>
          <w:rFonts w:hint="eastAsia"/>
          <w:b/>
        </w:rPr>
        <w:t>2</w:t>
      </w:r>
      <w:r>
        <w:rPr>
          <w:b/>
        </w:rPr>
        <w:t>.1-</w:t>
      </w:r>
      <w:r>
        <w:rPr>
          <w:rFonts w:hint="eastAsia"/>
          <w:b/>
        </w:rPr>
        <w:t xml:space="preserve">2 </w:t>
      </w:r>
      <w:r>
        <w:rPr>
          <w:b/>
        </w:rPr>
        <w:t>项目主要技术经济指标一览表</w:t>
      </w:r>
    </w:p>
    <w:tbl>
      <w:tblPr>
        <w:tblStyle w:val="59"/>
        <w:tblW w:w="83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6"/>
        <w:gridCol w:w="675"/>
        <w:gridCol w:w="56"/>
        <w:gridCol w:w="1483"/>
        <w:gridCol w:w="837"/>
        <w:gridCol w:w="2144"/>
        <w:gridCol w:w="23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 w:hRule="atLeast"/>
        </w:trPr>
        <w:tc>
          <w:tcPr>
            <w:tcW w:w="806" w:type="dxa"/>
            <w:vAlign w:val="center"/>
          </w:tcPr>
          <w:p>
            <w:pPr>
              <w:spacing w:line="320" w:lineRule="exact"/>
              <w:jc w:val="center"/>
              <w:rPr>
                <w:szCs w:val="21"/>
              </w:rPr>
            </w:pPr>
            <w:r>
              <w:rPr>
                <w:rFonts w:hint="eastAsia"/>
                <w:szCs w:val="21"/>
              </w:rPr>
              <w:t>序号</w:t>
            </w:r>
          </w:p>
        </w:tc>
        <w:tc>
          <w:tcPr>
            <w:tcW w:w="2214" w:type="dxa"/>
            <w:gridSpan w:val="3"/>
            <w:vAlign w:val="center"/>
          </w:tcPr>
          <w:p>
            <w:pPr>
              <w:spacing w:line="320" w:lineRule="exact"/>
              <w:jc w:val="center"/>
              <w:rPr>
                <w:szCs w:val="21"/>
              </w:rPr>
            </w:pPr>
            <w:r>
              <w:rPr>
                <w:szCs w:val="21"/>
              </w:rPr>
              <w:t>项目</w:t>
            </w:r>
          </w:p>
        </w:tc>
        <w:tc>
          <w:tcPr>
            <w:tcW w:w="837" w:type="dxa"/>
            <w:vAlign w:val="center"/>
          </w:tcPr>
          <w:p>
            <w:pPr>
              <w:spacing w:line="320" w:lineRule="exact"/>
              <w:jc w:val="center"/>
              <w:rPr>
                <w:szCs w:val="21"/>
              </w:rPr>
            </w:pPr>
            <w:r>
              <w:rPr>
                <w:szCs w:val="21"/>
              </w:rPr>
              <w:t>单位</w:t>
            </w:r>
          </w:p>
        </w:tc>
        <w:tc>
          <w:tcPr>
            <w:tcW w:w="2144" w:type="dxa"/>
            <w:vAlign w:val="center"/>
          </w:tcPr>
          <w:p>
            <w:pPr>
              <w:spacing w:line="320" w:lineRule="exact"/>
              <w:jc w:val="center"/>
              <w:rPr>
                <w:szCs w:val="21"/>
              </w:rPr>
            </w:pPr>
            <w:r>
              <w:rPr>
                <w:szCs w:val="21"/>
              </w:rPr>
              <w:t>数量</w:t>
            </w:r>
          </w:p>
        </w:tc>
        <w:tc>
          <w:tcPr>
            <w:tcW w:w="2333" w:type="dxa"/>
            <w:vAlign w:val="center"/>
          </w:tcPr>
          <w:p>
            <w:pPr>
              <w:spacing w:line="320" w:lineRule="exact"/>
              <w:jc w:val="center"/>
              <w:rPr>
                <w:szCs w:val="21"/>
              </w:rPr>
            </w:pPr>
            <w:r>
              <w:rPr>
                <w:rFonts w:hint="eastAsia"/>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3" w:hRule="atLeast"/>
        </w:trPr>
        <w:tc>
          <w:tcPr>
            <w:tcW w:w="806" w:type="dxa"/>
            <w:vMerge w:val="restart"/>
            <w:vAlign w:val="center"/>
          </w:tcPr>
          <w:p>
            <w:pPr>
              <w:spacing w:line="320" w:lineRule="exact"/>
              <w:jc w:val="center"/>
              <w:rPr>
                <w:szCs w:val="21"/>
              </w:rPr>
            </w:pPr>
            <w:r>
              <w:rPr>
                <w:rFonts w:hint="eastAsia"/>
                <w:szCs w:val="21"/>
              </w:rPr>
              <w:t>1</w:t>
            </w:r>
          </w:p>
        </w:tc>
        <w:tc>
          <w:tcPr>
            <w:tcW w:w="2214" w:type="dxa"/>
            <w:gridSpan w:val="3"/>
            <w:vAlign w:val="center"/>
          </w:tcPr>
          <w:p>
            <w:pPr>
              <w:spacing w:line="320" w:lineRule="exact"/>
              <w:jc w:val="center"/>
              <w:rPr>
                <w:szCs w:val="21"/>
              </w:rPr>
            </w:pPr>
            <w:r>
              <w:rPr>
                <w:szCs w:val="21"/>
              </w:rPr>
              <w:t>总</w:t>
            </w:r>
            <w:r>
              <w:rPr>
                <w:rFonts w:hint="eastAsia"/>
                <w:szCs w:val="21"/>
              </w:rPr>
              <w:t>用地</w:t>
            </w:r>
            <w:r>
              <w:rPr>
                <w:szCs w:val="21"/>
              </w:rPr>
              <w:t>面积</w:t>
            </w:r>
          </w:p>
        </w:tc>
        <w:tc>
          <w:tcPr>
            <w:tcW w:w="837" w:type="dxa"/>
            <w:vAlign w:val="center"/>
          </w:tcPr>
          <w:p>
            <w:pPr>
              <w:spacing w:line="320" w:lineRule="exact"/>
              <w:jc w:val="center"/>
              <w:rPr>
                <w:szCs w:val="21"/>
              </w:rPr>
            </w:pPr>
            <w:r>
              <w:rPr>
                <w:szCs w:val="21"/>
              </w:rPr>
              <w:t>m</w:t>
            </w:r>
            <w:r>
              <w:rPr>
                <w:szCs w:val="21"/>
                <w:vertAlign w:val="superscript"/>
              </w:rPr>
              <w:t>2</w:t>
            </w:r>
          </w:p>
        </w:tc>
        <w:tc>
          <w:tcPr>
            <w:tcW w:w="2144" w:type="dxa"/>
            <w:vAlign w:val="center"/>
          </w:tcPr>
          <w:p>
            <w:pPr>
              <w:spacing w:line="320" w:lineRule="exact"/>
              <w:jc w:val="center"/>
              <w:rPr>
                <w:szCs w:val="21"/>
              </w:rPr>
            </w:pPr>
            <w:r>
              <w:rPr>
                <w:rFonts w:hint="eastAsia"/>
                <w:szCs w:val="21"/>
              </w:rPr>
              <w:t>396449</w:t>
            </w:r>
          </w:p>
        </w:tc>
        <w:tc>
          <w:tcPr>
            <w:tcW w:w="2333" w:type="dxa"/>
            <w:vAlign w:val="center"/>
          </w:tcPr>
          <w:p>
            <w:pPr>
              <w:spacing w:line="320" w:lineRule="exact"/>
              <w:jc w:val="center"/>
              <w:rPr>
                <w:rFonts w:hint="eastAsia"/>
                <w:szCs w:val="21"/>
              </w:rPr>
            </w:pP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3" w:hRule="atLeast"/>
        </w:trPr>
        <w:tc>
          <w:tcPr>
            <w:tcW w:w="806" w:type="dxa"/>
            <w:vMerge w:val="continue"/>
            <w:vAlign w:val="center"/>
          </w:tcPr>
          <w:p>
            <w:pPr>
              <w:spacing w:line="320" w:lineRule="exact"/>
              <w:jc w:val="center"/>
              <w:rPr>
                <w:rFonts w:hint="eastAsia"/>
                <w:szCs w:val="21"/>
              </w:rPr>
            </w:pPr>
          </w:p>
        </w:tc>
        <w:tc>
          <w:tcPr>
            <w:tcW w:w="675" w:type="dxa"/>
            <w:vMerge w:val="restart"/>
            <w:vAlign w:val="center"/>
          </w:tcPr>
          <w:p>
            <w:pPr>
              <w:spacing w:line="320" w:lineRule="exact"/>
              <w:jc w:val="center"/>
              <w:rPr>
                <w:szCs w:val="21"/>
              </w:rPr>
            </w:pPr>
            <w:r>
              <w:rPr>
                <w:rFonts w:hint="eastAsia"/>
                <w:szCs w:val="21"/>
              </w:rPr>
              <w:t>其中</w:t>
            </w:r>
          </w:p>
        </w:tc>
        <w:tc>
          <w:tcPr>
            <w:tcW w:w="1539" w:type="dxa"/>
            <w:gridSpan w:val="2"/>
            <w:vAlign w:val="center"/>
          </w:tcPr>
          <w:p>
            <w:pPr>
              <w:spacing w:line="320" w:lineRule="exact"/>
              <w:jc w:val="center"/>
              <w:rPr>
                <w:szCs w:val="21"/>
              </w:rPr>
            </w:pPr>
            <w:r>
              <w:rPr>
                <w:rFonts w:hint="eastAsia"/>
                <w:szCs w:val="21"/>
              </w:rPr>
              <w:t>研发办公A区</w:t>
            </w:r>
          </w:p>
        </w:tc>
        <w:tc>
          <w:tcPr>
            <w:tcW w:w="837" w:type="dxa"/>
            <w:vAlign w:val="center"/>
          </w:tcPr>
          <w:p>
            <w:pPr>
              <w:spacing w:line="320" w:lineRule="exact"/>
              <w:jc w:val="center"/>
              <w:rPr>
                <w:szCs w:val="21"/>
              </w:rPr>
            </w:pPr>
            <w:r>
              <w:rPr>
                <w:szCs w:val="21"/>
              </w:rPr>
              <w:t>m</w:t>
            </w:r>
            <w:r>
              <w:rPr>
                <w:szCs w:val="21"/>
                <w:vertAlign w:val="superscript"/>
              </w:rPr>
              <w:t>2</w:t>
            </w:r>
          </w:p>
        </w:tc>
        <w:tc>
          <w:tcPr>
            <w:tcW w:w="2144" w:type="dxa"/>
            <w:vAlign w:val="center"/>
          </w:tcPr>
          <w:p>
            <w:pPr>
              <w:spacing w:line="320" w:lineRule="exact"/>
              <w:jc w:val="center"/>
              <w:rPr>
                <w:rFonts w:hint="eastAsia"/>
                <w:szCs w:val="21"/>
              </w:rPr>
            </w:pPr>
            <w:r>
              <w:rPr>
                <w:rFonts w:hint="eastAsia"/>
                <w:szCs w:val="21"/>
              </w:rPr>
              <w:t>75697</w:t>
            </w:r>
          </w:p>
        </w:tc>
        <w:tc>
          <w:tcPr>
            <w:tcW w:w="2333" w:type="dxa"/>
            <w:vAlign w:val="center"/>
          </w:tcPr>
          <w:p>
            <w:pPr>
              <w:spacing w:line="320" w:lineRule="exact"/>
              <w:jc w:val="center"/>
              <w:rPr>
                <w:rFonts w:hint="eastAsia"/>
                <w:szCs w:val="21"/>
              </w:rPr>
            </w:pP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3" w:hRule="atLeast"/>
        </w:trPr>
        <w:tc>
          <w:tcPr>
            <w:tcW w:w="806" w:type="dxa"/>
            <w:vMerge w:val="continue"/>
            <w:vAlign w:val="center"/>
          </w:tcPr>
          <w:p>
            <w:pPr>
              <w:spacing w:line="320" w:lineRule="exact"/>
              <w:jc w:val="center"/>
              <w:rPr>
                <w:rFonts w:hint="eastAsia"/>
                <w:szCs w:val="21"/>
              </w:rPr>
            </w:pPr>
          </w:p>
        </w:tc>
        <w:tc>
          <w:tcPr>
            <w:tcW w:w="675" w:type="dxa"/>
            <w:vMerge w:val="continue"/>
            <w:vAlign w:val="center"/>
          </w:tcPr>
          <w:p>
            <w:pPr>
              <w:spacing w:line="320" w:lineRule="exact"/>
              <w:jc w:val="center"/>
              <w:rPr>
                <w:szCs w:val="21"/>
              </w:rPr>
            </w:pPr>
          </w:p>
        </w:tc>
        <w:tc>
          <w:tcPr>
            <w:tcW w:w="1539" w:type="dxa"/>
            <w:gridSpan w:val="2"/>
            <w:vAlign w:val="center"/>
          </w:tcPr>
          <w:p>
            <w:pPr>
              <w:spacing w:line="320" w:lineRule="exact"/>
              <w:jc w:val="center"/>
              <w:rPr>
                <w:szCs w:val="21"/>
              </w:rPr>
            </w:pPr>
            <w:r>
              <w:rPr>
                <w:rFonts w:hint="eastAsia"/>
                <w:szCs w:val="21"/>
              </w:rPr>
              <w:t>研发办公B区</w:t>
            </w:r>
          </w:p>
        </w:tc>
        <w:tc>
          <w:tcPr>
            <w:tcW w:w="837" w:type="dxa"/>
            <w:vAlign w:val="center"/>
          </w:tcPr>
          <w:p>
            <w:pPr>
              <w:spacing w:line="320" w:lineRule="exact"/>
              <w:jc w:val="center"/>
              <w:rPr>
                <w:szCs w:val="21"/>
              </w:rPr>
            </w:pPr>
            <w:r>
              <w:rPr>
                <w:szCs w:val="21"/>
              </w:rPr>
              <w:t>m</w:t>
            </w:r>
            <w:r>
              <w:rPr>
                <w:szCs w:val="21"/>
                <w:vertAlign w:val="superscript"/>
              </w:rPr>
              <w:t>2</w:t>
            </w:r>
          </w:p>
        </w:tc>
        <w:tc>
          <w:tcPr>
            <w:tcW w:w="2144" w:type="dxa"/>
            <w:vAlign w:val="center"/>
          </w:tcPr>
          <w:p>
            <w:pPr>
              <w:spacing w:line="320" w:lineRule="exact"/>
              <w:jc w:val="center"/>
              <w:rPr>
                <w:rFonts w:hint="eastAsia"/>
                <w:szCs w:val="21"/>
              </w:rPr>
            </w:pPr>
            <w:r>
              <w:rPr>
                <w:rFonts w:hint="eastAsia"/>
                <w:szCs w:val="21"/>
              </w:rPr>
              <w:t>229173</w:t>
            </w:r>
          </w:p>
        </w:tc>
        <w:tc>
          <w:tcPr>
            <w:tcW w:w="2333" w:type="dxa"/>
            <w:vAlign w:val="center"/>
          </w:tcPr>
          <w:p>
            <w:pPr>
              <w:spacing w:line="320" w:lineRule="exact"/>
              <w:jc w:val="center"/>
              <w:rPr>
                <w:rFonts w:hint="eastAsia"/>
                <w:szCs w:val="21"/>
              </w:rPr>
            </w:pP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3" w:hRule="atLeast"/>
        </w:trPr>
        <w:tc>
          <w:tcPr>
            <w:tcW w:w="806" w:type="dxa"/>
            <w:vMerge w:val="continue"/>
            <w:vAlign w:val="center"/>
          </w:tcPr>
          <w:p>
            <w:pPr>
              <w:spacing w:line="320" w:lineRule="exact"/>
              <w:jc w:val="center"/>
              <w:rPr>
                <w:rFonts w:hint="eastAsia"/>
                <w:szCs w:val="21"/>
              </w:rPr>
            </w:pPr>
          </w:p>
        </w:tc>
        <w:tc>
          <w:tcPr>
            <w:tcW w:w="675" w:type="dxa"/>
            <w:vMerge w:val="continue"/>
            <w:vAlign w:val="center"/>
          </w:tcPr>
          <w:p>
            <w:pPr>
              <w:spacing w:line="320" w:lineRule="exact"/>
              <w:jc w:val="center"/>
              <w:rPr>
                <w:szCs w:val="21"/>
              </w:rPr>
            </w:pPr>
          </w:p>
        </w:tc>
        <w:tc>
          <w:tcPr>
            <w:tcW w:w="1539" w:type="dxa"/>
            <w:gridSpan w:val="2"/>
            <w:vAlign w:val="center"/>
          </w:tcPr>
          <w:p>
            <w:pPr>
              <w:jc w:val="center"/>
            </w:pPr>
            <w:r>
              <w:rPr>
                <w:rFonts w:hint="eastAsia"/>
                <w:szCs w:val="21"/>
              </w:rPr>
              <w:t>仓储物流区</w:t>
            </w:r>
          </w:p>
        </w:tc>
        <w:tc>
          <w:tcPr>
            <w:tcW w:w="837" w:type="dxa"/>
            <w:vAlign w:val="center"/>
          </w:tcPr>
          <w:p>
            <w:pPr>
              <w:spacing w:line="320" w:lineRule="exact"/>
              <w:jc w:val="center"/>
              <w:rPr>
                <w:szCs w:val="21"/>
              </w:rPr>
            </w:pPr>
            <w:r>
              <w:rPr>
                <w:szCs w:val="21"/>
              </w:rPr>
              <w:t>m</w:t>
            </w:r>
            <w:r>
              <w:rPr>
                <w:szCs w:val="21"/>
                <w:vertAlign w:val="superscript"/>
              </w:rPr>
              <w:t>2</w:t>
            </w:r>
          </w:p>
        </w:tc>
        <w:tc>
          <w:tcPr>
            <w:tcW w:w="2144" w:type="dxa"/>
            <w:vAlign w:val="center"/>
          </w:tcPr>
          <w:p>
            <w:pPr>
              <w:spacing w:line="320" w:lineRule="exact"/>
              <w:jc w:val="center"/>
              <w:rPr>
                <w:rFonts w:hint="eastAsia"/>
                <w:szCs w:val="21"/>
              </w:rPr>
            </w:pPr>
            <w:r>
              <w:rPr>
                <w:rFonts w:hint="eastAsia"/>
                <w:szCs w:val="21"/>
              </w:rPr>
              <w:t>91579</w:t>
            </w:r>
          </w:p>
        </w:tc>
        <w:tc>
          <w:tcPr>
            <w:tcW w:w="2333" w:type="dxa"/>
            <w:vAlign w:val="center"/>
          </w:tcPr>
          <w:p>
            <w:pPr>
              <w:spacing w:line="320" w:lineRule="exact"/>
              <w:jc w:val="center"/>
              <w:rPr>
                <w:rFonts w:hint="eastAsia"/>
                <w:szCs w:val="21"/>
              </w:rPr>
            </w:pP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3" w:hRule="atLeast"/>
        </w:trPr>
        <w:tc>
          <w:tcPr>
            <w:tcW w:w="806" w:type="dxa"/>
            <w:vMerge w:val="restart"/>
            <w:vAlign w:val="center"/>
          </w:tcPr>
          <w:p>
            <w:pPr>
              <w:spacing w:line="320" w:lineRule="exact"/>
              <w:jc w:val="center"/>
              <w:rPr>
                <w:szCs w:val="21"/>
              </w:rPr>
            </w:pPr>
            <w:r>
              <w:rPr>
                <w:rFonts w:hint="eastAsia"/>
                <w:szCs w:val="21"/>
              </w:rPr>
              <w:t>2</w:t>
            </w:r>
          </w:p>
        </w:tc>
        <w:tc>
          <w:tcPr>
            <w:tcW w:w="2214" w:type="dxa"/>
            <w:gridSpan w:val="3"/>
            <w:vAlign w:val="center"/>
          </w:tcPr>
          <w:p>
            <w:pPr>
              <w:spacing w:line="320" w:lineRule="exact"/>
              <w:jc w:val="center"/>
              <w:rPr>
                <w:szCs w:val="21"/>
              </w:rPr>
            </w:pPr>
            <w:r>
              <w:rPr>
                <w:rFonts w:hint="eastAsia"/>
                <w:szCs w:val="21"/>
              </w:rPr>
              <w:t>总建筑面积</w:t>
            </w:r>
          </w:p>
        </w:tc>
        <w:tc>
          <w:tcPr>
            <w:tcW w:w="837" w:type="dxa"/>
            <w:vAlign w:val="center"/>
          </w:tcPr>
          <w:p>
            <w:pPr>
              <w:spacing w:line="320" w:lineRule="exact"/>
              <w:jc w:val="center"/>
              <w:rPr>
                <w:szCs w:val="21"/>
              </w:rPr>
            </w:pPr>
            <w:r>
              <w:rPr>
                <w:szCs w:val="21"/>
              </w:rPr>
              <w:t>m</w:t>
            </w:r>
            <w:r>
              <w:rPr>
                <w:szCs w:val="21"/>
                <w:vertAlign w:val="superscript"/>
              </w:rPr>
              <w:t>2</w:t>
            </w:r>
          </w:p>
        </w:tc>
        <w:tc>
          <w:tcPr>
            <w:tcW w:w="2144" w:type="dxa"/>
            <w:vAlign w:val="center"/>
          </w:tcPr>
          <w:p>
            <w:pPr>
              <w:spacing w:line="320" w:lineRule="exact"/>
              <w:jc w:val="center"/>
              <w:rPr>
                <w:szCs w:val="21"/>
              </w:rPr>
            </w:pPr>
            <w:r>
              <w:rPr>
                <w:rFonts w:hint="eastAsia"/>
                <w:szCs w:val="21"/>
              </w:rPr>
              <w:t>516562.44</w:t>
            </w:r>
          </w:p>
        </w:tc>
        <w:tc>
          <w:tcPr>
            <w:tcW w:w="2333" w:type="dxa"/>
            <w:vAlign w:val="center"/>
          </w:tcPr>
          <w:p>
            <w:pPr>
              <w:spacing w:line="320" w:lineRule="exact"/>
              <w:jc w:val="center"/>
              <w:rPr>
                <w:rFonts w:hint="eastAsia"/>
                <w:szCs w:val="21"/>
              </w:rPr>
            </w:pP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 w:hRule="atLeast"/>
        </w:trPr>
        <w:tc>
          <w:tcPr>
            <w:tcW w:w="806" w:type="dxa"/>
            <w:vMerge w:val="continue"/>
            <w:vAlign w:val="center"/>
          </w:tcPr>
          <w:p>
            <w:pPr>
              <w:spacing w:line="320" w:lineRule="exact"/>
              <w:jc w:val="center"/>
              <w:rPr>
                <w:szCs w:val="21"/>
              </w:rPr>
            </w:pPr>
          </w:p>
        </w:tc>
        <w:tc>
          <w:tcPr>
            <w:tcW w:w="731" w:type="dxa"/>
            <w:gridSpan w:val="2"/>
            <w:vMerge w:val="restart"/>
            <w:vAlign w:val="center"/>
          </w:tcPr>
          <w:p>
            <w:pPr>
              <w:spacing w:line="320" w:lineRule="exact"/>
              <w:jc w:val="center"/>
              <w:rPr>
                <w:szCs w:val="21"/>
              </w:rPr>
            </w:pPr>
            <w:r>
              <w:rPr>
                <w:szCs w:val="21"/>
              </w:rPr>
              <w:t>其</w:t>
            </w:r>
          </w:p>
          <w:p>
            <w:pPr>
              <w:spacing w:line="320" w:lineRule="exact"/>
              <w:jc w:val="center"/>
              <w:rPr>
                <w:szCs w:val="21"/>
              </w:rPr>
            </w:pPr>
            <w:r>
              <w:rPr>
                <w:szCs w:val="21"/>
              </w:rPr>
              <w:t>中</w:t>
            </w:r>
          </w:p>
        </w:tc>
        <w:tc>
          <w:tcPr>
            <w:tcW w:w="1483" w:type="dxa"/>
            <w:vAlign w:val="center"/>
          </w:tcPr>
          <w:p>
            <w:pPr>
              <w:spacing w:line="320" w:lineRule="exact"/>
              <w:jc w:val="center"/>
              <w:rPr>
                <w:szCs w:val="21"/>
              </w:rPr>
            </w:pPr>
            <w:r>
              <w:rPr>
                <w:rFonts w:hint="eastAsia"/>
                <w:szCs w:val="21"/>
              </w:rPr>
              <w:t>研发办公A区</w:t>
            </w:r>
          </w:p>
        </w:tc>
        <w:tc>
          <w:tcPr>
            <w:tcW w:w="837" w:type="dxa"/>
            <w:vAlign w:val="center"/>
          </w:tcPr>
          <w:p>
            <w:pPr>
              <w:spacing w:line="320" w:lineRule="exact"/>
              <w:jc w:val="center"/>
              <w:rPr>
                <w:szCs w:val="21"/>
              </w:rPr>
            </w:pPr>
            <w:r>
              <w:rPr>
                <w:szCs w:val="21"/>
              </w:rPr>
              <w:t>m</w:t>
            </w:r>
            <w:r>
              <w:rPr>
                <w:szCs w:val="21"/>
                <w:vertAlign w:val="superscript"/>
              </w:rPr>
              <w:t>2</w:t>
            </w:r>
          </w:p>
        </w:tc>
        <w:tc>
          <w:tcPr>
            <w:tcW w:w="2144" w:type="dxa"/>
            <w:vAlign w:val="center"/>
          </w:tcPr>
          <w:p>
            <w:pPr>
              <w:spacing w:line="320" w:lineRule="exact"/>
              <w:jc w:val="center"/>
              <w:rPr>
                <w:szCs w:val="21"/>
              </w:rPr>
            </w:pPr>
            <w:r>
              <w:rPr>
                <w:rFonts w:hint="eastAsia"/>
                <w:szCs w:val="21"/>
              </w:rPr>
              <w:t>97852</w:t>
            </w:r>
          </w:p>
        </w:tc>
        <w:tc>
          <w:tcPr>
            <w:tcW w:w="2333" w:type="dxa"/>
            <w:vAlign w:val="center"/>
          </w:tcPr>
          <w:p>
            <w:pPr>
              <w:spacing w:line="320" w:lineRule="exact"/>
              <w:jc w:val="center"/>
              <w:rPr>
                <w:rFonts w:hint="eastAsia"/>
                <w:szCs w:val="21"/>
              </w:rPr>
            </w:pP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 w:hRule="atLeast"/>
        </w:trPr>
        <w:tc>
          <w:tcPr>
            <w:tcW w:w="806" w:type="dxa"/>
            <w:vMerge w:val="continue"/>
            <w:vAlign w:val="center"/>
          </w:tcPr>
          <w:p>
            <w:pPr>
              <w:spacing w:line="320" w:lineRule="exact"/>
              <w:jc w:val="center"/>
              <w:rPr>
                <w:szCs w:val="21"/>
              </w:rPr>
            </w:pPr>
          </w:p>
        </w:tc>
        <w:tc>
          <w:tcPr>
            <w:tcW w:w="731" w:type="dxa"/>
            <w:gridSpan w:val="2"/>
            <w:vMerge w:val="continue"/>
            <w:vAlign w:val="center"/>
          </w:tcPr>
          <w:p>
            <w:pPr>
              <w:spacing w:line="320" w:lineRule="exact"/>
              <w:jc w:val="center"/>
              <w:rPr>
                <w:szCs w:val="21"/>
              </w:rPr>
            </w:pPr>
          </w:p>
        </w:tc>
        <w:tc>
          <w:tcPr>
            <w:tcW w:w="1483" w:type="dxa"/>
            <w:vAlign w:val="center"/>
          </w:tcPr>
          <w:p>
            <w:pPr>
              <w:spacing w:line="320" w:lineRule="exact"/>
              <w:jc w:val="center"/>
              <w:rPr>
                <w:szCs w:val="21"/>
              </w:rPr>
            </w:pPr>
            <w:r>
              <w:rPr>
                <w:rFonts w:hint="eastAsia"/>
                <w:szCs w:val="21"/>
              </w:rPr>
              <w:t>研发办公B区</w:t>
            </w:r>
          </w:p>
        </w:tc>
        <w:tc>
          <w:tcPr>
            <w:tcW w:w="837" w:type="dxa"/>
            <w:vAlign w:val="center"/>
          </w:tcPr>
          <w:p>
            <w:pPr>
              <w:spacing w:line="320" w:lineRule="exact"/>
              <w:jc w:val="center"/>
              <w:rPr>
                <w:szCs w:val="21"/>
              </w:rPr>
            </w:pPr>
            <w:r>
              <w:rPr>
                <w:szCs w:val="21"/>
              </w:rPr>
              <w:t>m</w:t>
            </w:r>
            <w:r>
              <w:rPr>
                <w:szCs w:val="21"/>
                <w:vertAlign w:val="superscript"/>
              </w:rPr>
              <w:t>2</w:t>
            </w:r>
          </w:p>
        </w:tc>
        <w:tc>
          <w:tcPr>
            <w:tcW w:w="2144" w:type="dxa"/>
            <w:vAlign w:val="center"/>
          </w:tcPr>
          <w:p>
            <w:pPr>
              <w:spacing w:line="320" w:lineRule="exact"/>
              <w:jc w:val="center"/>
              <w:rPr>
                <w:szCs w:val="21"/>
              </w:rPr>
            </w:pPr>
            <w:r>
              <w:rPr>
                <w:rFonts w:hint="eastAsia"/>
                <w:szCs w:val="21"/>
              </w:rPr>
              <w:t>224868.35</w:t>
            </w:r>
          </w:p>
        </w:tc>
        <w:tc>
          <w:tcPr>
            <w:tcW w:w="2333" w:type="dxa"/>
            <w:vAlign w:val="center"/>
          </w:tcPr>
          <w:p>
            <w:pPr>
              <w:spacing w:line="320" w:lineRule="exact"/>
              <w:jc w:val="center"/>
              <w:rPr>
                <w:rFonts w:hint="eastAsia"/>
                <w:szCs w:val="21"/>
              </w:rPr>
            </w:pP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 w:hRule="atLeast"/>
        </w:trPr>
        <w:tc>
          <w:tcPr>
            <w:tcW w:w="806" w:type="dxa"/>
            <w:vMerge w:val="continue"/>
            <w:vAlign w:val="center"/>
          </w:tcPr>
          <w:p>
            <w:pPr>
              <w:spacing w:line="320" w:lineRule="exact"/>
              <w:jc w:val="center"/>
              <w:rPr>
                <w:szCs w:val="21"/>
              </w:rPr>
            </w:pPr>
          </w:p>
        </w:tc>
        <w:tc>
          <w:tcPr>
            <w:tcW w:w="731" w:type="dxa"/>
            <w:gridSpan w:val="2"/>
            <w:vMerge w:val="continue"/>
            <w:vAlign w:val="center"/>
          </w:tcPr>
          <w:p>
            <w:pPr>
              <w:spacing w:line="320" w:lineRule="exact"/>
              <w:jc w:val="center"/>
              <w:rPr>
                <w:szCs w:val="21"/>
              </w:rPr>
            </w:pPr>
          </w:p>
        </w:tc>
        <w:tc>
          <w:tcPr>
            <w:tcW w:w="1483" w:type="dxa"/>
            <w:vAlign w:val="center"/>
          </w:tcPr>
          <w:p>
            <w:pPr>
              <w:jc w:val="center"/>
            </w:pPr>
            <w:r>
              <w:rPr>
                <w:rFonts w:hint="eastAsia"/>
                <w:szCs w:val="21"/>
              </w:rPr>
              <w:t>1~4#仓库</w:t>
            </w:r>
          </w:p>
        </w:tc>
        <w:tc>
          <w:tcPr>
            <w:tcW w:w="837" w:type="dxa"/>
            <w:vAlign w:val="center"/>
          </w:tcPr>
          <w:p>
            <w:pPr>
              <w:spacing w:line="320" w:lineRule="exact"/>
              <w:jc w:val="center"/>
              <w:rPr>
                <w:szCs w:val="21"/>
              </w:rPr>
            </w:pPr>
            <w:r>
              <w:rPr>
                <w:szCs w:val="21"/>
              </w:rPr>
              <w:t>m</w:t>
            </w:r>
            <w:r>
              <w:rPr>
                <w:szCs w:val="21"/>
                <w:vertAlign w:val="superscript"/>
              </w:rPr>
              <w:t>2</w:t>
            </w:r>
          </w:p>
        </w:tc>
        <w:tc>
          <w:tcPr>
            <w:tcW w:w="2144" w:type="dxa"/>
            <w:vAlign w:val="center"/>
          </w:tcPr>
          <w:p>
            <w:pPr>
              <w:spacing w:line="320" w:lineRule="exact"/>
              <w:jc w:val="center"/>
              <w:rPr>
                <w:szCs w:val="21"/>
              </w:rPr>
            </w:pPr>
            <w:r>
              <w:rPr>
                <w:rFonts w:hint="eastAsia"/>
                <w:szCs w:val="21"/>
              </w:rPr>
              <w:t>96881.57</w:t>
            </w:r>
          </w:p>
        </w:tc>
        <w:tc>
          <w:tcPr>
            <w:tcW w:w="2333" w:type="dxa"/>
            <w:vAlign w:val="center"/>
          </w:tcPr>
          <w:p>
            <w:pPr>
              <w:jc w:val="center"/>
            </w:pPr>
            <w:r>
              <w:rPr>
                <w:rFonts w:hint="eastAsia"/>
                <w:szCs w:val="21"/>
              </w:rPr>
              <w:t>地上一层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 w:hRule="atLeast"/>
        </w:trPr>
        <w:tc>
          <w:tcPr>
            <w:tcW w:w="806" w:type="dxa"/>
            <w:vMerge w:val="continue"/>
            <w:vAlign w:val="center"/>
          </w:tcPr>
          <w:p>
            <w:pPr>
              <w:spacing w:line="320" w:lineRule="exact"/>
              <w:jc w:val="center"/>
              <w:rPr>
                <w:szCs w:val="21"/>
              </w:rPr>
            </w:pPr>
          </w:p>
        </w:tc>
        <w:tc>
          <w:tcPr>
            <w:tcW w:w="731" w:type="dxa"/>
            <w:gridSpan w:val="2"/>
            <w:vMerge w:val="continue"/>
            <w:vAlign w:val="center"/>
          </w:tcPr>
          <w:p>
            <w:pPr>
              <w:spacing w:line="320" w:lineRule="exact"/>
              <w:jc w:val="center"/>
              <w:rPr>
                <w:szCs w:val="21"/>
              </w:rPr>
            </w:pPr>
          </w:p>
        </w:tc>
        <w:tc>
          <w:tcPr>
            <w:tcW w:w="1483" w:type="dxa"/>
            <w:vAlign w:val="center"/>
          </w:tcPr>
          <w:p>
            <w:pPr>
              <w:spacing w:line="320" w:lineRule="exact"/>
              <w:jc w:val="center"/>
              <w:rPr>
                <w:szCs w:val="21"/>
              </w:rPr>
            </w:pPr>
            <w:r>
              <w:rPr>
                <w:rFonts w:hint="eastAsia"/>
                <w:szCs w:val="21"/>
              </w:rPr>
              <w:t>分拣中心</w:t>
            </w:r>
          </w:p>
        </w:tc>
        <w:tc>
          <w:tcPr>
            <w:tcW w:w="837" w:type="dxa"/>
            <w:vAlign w:val="center"/>
          </w:tcPr>
          <w:p>
            <w:pPr>
              <w:spacing w:line="320" w:lineRule="exact"/>
              <w:jc w:val="center"/>
              <w:rPr>
                <w:szCs w:val="21"/>
              </w:rPr>
            </w:pPr>
            <w:r>
              <w:rPr>
                <w:szCs w:val="21"/>
              </w:rPr>
              <w:t>m</w:t>
            </w:r>
            <w:r>
              <w:rPr>
                <w:szCs w:val="21"/>
                <w:vertAlign w:val="superscript"/>
              </w:rPr>
              <w:t>2</w:t>
            </w:r>
          </w:p>
        </w:tc>
        <w:tc>
          <w:tcPr>
            <w:tcW w:w="2144" w:type="dxa"/>
            <w:vAlign w:val="center"/>
          </w:tcPr>
          <w:p>
            <w:pPr>
              <w:spacing w:line="320" w:lineRule="exact"/>
              <w:jc w:val="center"/>
              <w:rPr>
                <w:szCs w:val="21"/>
              </w:rPr>
            </w:pPr>
            <w:r>
              <w:rPr>
                <w:rFonts w:hint="eastAsia"/>
                <w:szCs w:val="21"/>
              </w:rPr>
              <w:t>95790.52</w:t>
            </w:r>
          </w:p>
        </w:tc>
        <w:tc>
          <w:tcPr>
            <w:tcW w:w="2333" w:type="dxa"/>
            <w:vAlign w:val="center"/>
          </w:tcPr>
          <w:p>
            <w:pPr>
              <w:jc w:val="center"/>
            </w:pPr>
            <w:r>
              <w:rPr>
                <w:rFonts w:hint="eastAsia"/>
                <w:szCs w:val="21"/>
              </w:rPr>
              <w:t>地上二层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 w:hRule="atLeast"/>
        </w:trPr>
        <w:tc>
          <w:tcPr>
            <w:tcW w:w="806" w:type="dxa"/>
            <w:vMerge w:val="continue"/>
            <w:vAlign w:val="center"/>
          </w:tcPr>
          <w:p>
            <w:pPr>
              <w:spacing w:line="320" w:lineRule="exact"/>
              <w:jc w:val="center"/>
              <w:rPr>
                <w:szCs w:val="21"/>
              </w:rPr>
            </w:pPr>
          </w:p>
        </w:tc>
        <w:tc>
          <w:tcPr>
            <w:tcW w:w="731" w:type="dxa"/>
            <w:gridSpan w:val="2"/>
            <w:vMerge w:val="continue"/>
            <w:vAlign w:val="center"/>
          </w:tcPr>
          <w:p>
            <w:pPr>
              <w:spacing w:line="320" w:lineRule="exact"/>
              <w:jc w:val="center"/>
              <w:rPr>
                <w:szCs w:val="21"/>
              </w:rPr>
            </w:pPr>
          </w:p>
        </w:tc>
        <w:tc>
          <w:tcPr>
            <w:tcW w:w="1483" w:type="dxa"/>
            <w:vAlign w:val="center"/>
          </w:tcPr>
          <w:p>
            <w:pPr>
              <w:spacing w:line="320" w:lineRule="exact"/>
              <w:jc w:val="center"/>
              <w:rPr>
                <w:szCs w:val="21"/>
              </w:rPr>
            </w:pPr>
            <w:r>
              <w:rPr>
                <w:rFonts w:hint="eastAsia"/>
                <w:szCs w:val="21"/>
              </w:rPr>
              <w:t>门卫</w:t>
            </w:r>
          </w:p>
        </w:tc>
        <w:tc>
          <w:tcPr>
            <w:tcW w:w="837" w:type="dxa"/>
            <w:vAlign w:val="center"/>
          </w:tcPr>
          <w:p>
            <w:pPr>
              <w:spacing w:line="320" w:lineRule="exact"/>
              <w:jc w:val="center"/>
              <w:rPr>
                <w:szCs w:val="21"/>
              </w:rPr>
            </w:pPr>
            <w:r>
              <w:rPr>
                <w:szCs w:val="21"/>
              </w:rPr>
              <w:t>m</w:t>
            </w:r>
            <w:r>
              <w:rPr>
                <w:szCs w:val="21"/>
                <w:vertAlign w:val="superscript"/>
              </w:rPr>
              <w:t>2</w:t>
            </w:r>
          </w:p>
        </w:tc>
        <w:tc>
          <w:tcPr>
            <w:tcW w:w="2144" w:type="dxa"/>
            <w:vAlign w:val="center"/>
          </w:tcPr>
          <w:p>
            <w:pPr>
              <w:spacing w:line="320" w:lineRule="exact"/>
              <w:jc w:val="center"/>
              <w:rPr>
                <w:szCs w:val="21"/>
              </w:rPr>
            </w:pPr>
            <w:r>
              <w:rPr>
                <w:rFonts w:hint="eastAsia"/>
                <w:szCs w:val="21"/>
              </w:rPr>
              <w:t>360</w:t>
            </w:r>
          </w:p>
        </w:tc>
        <w:tc>
          <w:tcPr>
            <w:tcW w:w="2333" w:type="dxa"/>
            <w:vAlign w:val="center"/>
          </w:tcPr>
          <w:p>
            <w:pPr>
              <w:jc w:val="center"/>
            </w:pPr>
            <w:r>
              <w:rPr>
                <w:rFonts w:hint="eastAsia"/>
                <w:szCs w:val="21"/>
              </w:rPr>
              <w:t>地上一层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 w:hRule="atLeast"/>
        </w:trPr>
        <w:tc>
          <w:tcPr>
            <w:tcW w:w="806" w:type="dxa"/>
            <w:vMerge w:val="continue"/>
            <w:vAlign w:val="center"/>
          </w:tcPr>
          <w:p>
            <w:pPr>
              <w:spacing w:line="320" w:lineRule="exact"/>
              <w:jc w:val="center"/>
              <w:rPr>
                <w:szCs w:val="21"/>
              </w:rPr>
            </w:pPr>
          </w:p>
        </w:tc>
        <w:tc>
          <w:tcPr>
            <w:tcW w:w="731" w:type="dxa"/>
            <w:gridSpan w:val="2"/>
            <w:vMerge w:val="continue"/>
            <w:vAlign w:val="center"/>
          </w:tcPr>
          <w:p>
            <w:pPr>
              <w:spacing w:line="320" w:lineRule="exact"/>
              <w:jc w:val="center"/>
              <w:rPr>
                <w:szCs w:val="21"/>
              </w:rPr>
            </w:pPr>
          </w:p>
        </w:tc>
        <w:tc>
          <w:tcPr>
            <w:tcW w:w="1483" w:type="dxa"/>
            <w:vAlign w:val="center"/>
          </w:tcPr>
          <w:p>
            <w:pPr>
              <w:spacing w:line="320" w:lineRule="exact"/>
              <w:jc w:val="center"/>
              <w:rPr>
                <w:szCs w:val="21"/>
              </w:rPr>
            </w:pPr>
            <w:r>
              <w:rPr>
                <w:rFonts w:hint="eastAsia"/>
                <w:szCs w:val="21"/>
              </w:rPr>
              <w:t>库间雨棚</w:t>
            </w:r>
          </w:p>
        </w:tc>
        <w:tc>
          <w:tcPr>
            <w:tcW w:w="837" w:type="dxa"/>
            <w:vAlign w:val="center"/>
          </w:tcPr>
          <w:p>
            <w:pPr>
              <w:spacing w:line="320" w:lineRule="exact"/>
              <w:jc w:val="center"/>
              <w:rPr>
                <w:szCs w:val="21"/>
              </w:rPr>
            </w:pPr>
            <w:r>
              <w:rPr>
                <w:szCs w:val="21"/>
              </w:rPr>
              <w:t>m</w:t>
            </w:r>
            <w:r>
              <w:rPr>
                <w:szCs w:val="21"/>
                <w:vertAlign w:val="superscript"/>
              </w:rPr>
              <w:t>2</w:t>
            </w:r>
          </w:p>
        </w:tc>
        <w:tc>
          <w:tcPr>
            <w:tcW w:w="2144" w:type="dxa"/>
            <w:vAlign w:val="center"/>
          </w:tcPr>
          <w:p>
            <w:pPr>
              <w:spacing w:line="320" w:lineRule="exact"/>
              <w:jc w:val="center"/>
              <w:rPr>
                <w:szCs w:val="21"/>
              </w:rPr>
            </w:pPr>
            <w:r>
              <w:rPr>
                <w:rFonts w:hint="eastAsia"/>
                <w:szCs w:val="21"/>
              </w:rPr>
              <w:t>810</w:t>
            </w:r>
          </w:p>
        </w:tc>
        <w:tc>
          <w:tcPr>
            <w:tcW w:w="2333" w:type="dxa"/>
            <w:vAlign w:val="center"/>
          </w:tcPr>
          <w:p>
            <w:pPr>
              <w:jc w:val="center"/>
            </w:pPr>
            <w:r>
              <w:rPr>
                <w:rFonts w:hint="eastAsia"/>
                <w:szCs w:val="21"/>
              </w:rPr>
              <w:t>地上一层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 w:hRule="atLeast"/>
        </w:trPr>
        <w:tc>
          <w:tcPr>
            <w:tcW w:w="806" w:type="dxa"/>
            <w:vAlign w:val="center"/>
          </w:tcPr>
          <w:p>
            <w:pPr>
              <w:spacing w:line="320" w:lineRule="exact"/>
              <w:jc w:val="center"/>
              <w:rPr>
                <w:szCs w:val="21"/>
              </w:rPr>
            </w:pPr>
            <w:r>
              <w:rPr>
                <w:rFonts w:hint="eastAsia"/>
                <w:szCs w:val="21"/>
              </w:rPr>
              <w:t>3</w:t>
            </w:r>
          </w:p>
        </w:tc>
        <w:tc>
          <w:tcPr>
            <w:tcW w:w="2214" w:type="dxa"/>
            <w:gridSpan w:val="3"/>
            <w:vAlign w:val="center"/>
          </w:tcPr>
          <w:p>
            <w:pPr>
              <w:spacing w:line="320" w:lineRule="exact"/>
              <w:jc w:val="center"/>
              <w:rPr>
                <w:szCs w:val="21"/>
              </w:rPr>
            </w:pPr>
            <w:r>
              <w:rPr>
                <w:szCs w:val="21"/>
              </w:rPr>
              <w:t>地上停车位</w:t>
            </w:r>
          </w:p>
        </w:tc>
        <w:tc>
          <w:tcPr>
            <w:tcW w:w="837" w:type="dxa"/>
            <w:vAlign w:val="center"/>
          </w:tcPr>
          <w:p>
            <w:pPr>
              <w:spacing w:line="320" w:lineRule="exact"/>
              <w:jc w:val="center"/>
              <w:rPr>
                <w:szCs w:val="21"/>
              </w:rPr>
            </w:pPr>
            <w:r>
              <w:rPr>
                <w:szCs w:val="21"/>
              </w:rPr>
              <w:t>辆</w:t>
            </w:r>
          </w:p>
        </w:tc>
        <w:tc>
          <w:tcPr>
            <w:tcW w:w="2144" w:type="dxa"/>
            <w:vAlign w:val="center"/>
          </w:tcPr>
          <w:p>
            <w:pPr>
              <w:spacing w:line="320" w:lineRule="exact"/>
              <w:jc w:val="center"/>
              <w:rPr>
                <w:szCs w:val="21"/>
              </w:rPr>
            </w:pPr>
            <w:r>
              <w:rPr>
                <w:rFonts w:hint="eastAsia"/>
                <w:szCs w:val="21"/>
              </w:rPr>
              <w:t>527</w:t>
            </w:r>
          </w:p>
        </w:tc>
        <w:tc>
          <w:tcPr>
            <w:tcW w:w="2333" w:type="dxa"/>
            <w:vAlign w:val="center"/>
          </w:tcPr>
          <w:p>
            <w:pPr>
              <w:spacing w:line="320" w:lineRule="exact"/>
              <w:jc w:val="center"/>
              <w:rPr>
                <w:rFonts w:hint="eastAsia"/>
                <w:szCs w:val="21"/>
              </w:rPr>
            </w:pP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 w:hRule="atLeast"/>
        </w:trPr>
        <w:tc>
          <w:tcPr>
            <w:tcW w:w="806" w:type="dxa"/>
            <w:vAlign w:val="center"/>
          </w:tcPr>
          <w:p>
            <w:pPr>
              <w:spacing w:line="320" w:lineRule="exact"/>
              <w:jc w:val="center"/>
              <w:rPr>
                <w:szCs w:val="21"/>
              </w:rPr>
            </w:pPr>
            <w:r>
              <w:rPr>
                <w:rFonts w:hint="eastAsia"/>
                <w:szCs w:val="21"/>
              </w:rPr>
              <w:t>4</w:t>
            </w:r>
          </w:p>
        </w:tc>
        <w:tc>
          <w:tcPr>
            <w:tcW w:w="2214" w:type="dxa"/>
            <w:gridSpan w:val="3"/>
            <w:vAlign w:val="center"/>
          </w:tcPr>
          <w:p>
            <w:pPr>
              <w:spacing w:line="320" w:lineRule="exact"/>
              <w:jc w:val="center"/>
              <w:rPr>
                <w:szCs w:val="21"/>
              </w:rPr>
            </w:pPr>
            <w:r>
              <w:rPr>
                <w:szCs w:val="21"/>
              </w:rPr>
              <w:t>绿地率</w:t>
            </w:r>
          </w:p>
        </w:tc>
        <w:tc>
          <w:tcPr>
            <w:tcW w:w="837" w:type="dxa"/>
            <w:vAlign w:val="center"/>
          </w:tcPr>
          <w:p>
            <w:pPr>
              <w:spacing w:line="320" w:lineRule="exact"/>
              <w:jc w:val="center"/>
              <w:rPr>
                <w:szCs w:val="21"/>
              </w:rPr>
            </w:pPr>
            <w:r>
              <w:rPr>
                <w:szCs w:val="21"/>
              </w:rPr>
              <w:t>%</w:t>
            </w:r>
          </w:p>
        </w:tc>
        <w:tc>
          <w:tcPr>
            <w:tcW w:w="2144" w:type="dxa"/>
            <w:vAlign w:val="center"/>
          </w:tcPr>
          <w:p>
            <w:pPr>
              <w:spacing w:line="320" w:lineRule="exact"/>
              <w:jc w:val="center"/>
              <w:rPr>
                <w:szCs w:val="21"/>
              </w:rPr>
            </w:pPr>
            <w:r>
              <w:rPr>
                <w:rFonts w:hint="eastAsia"/>
                <w:szCs w:val="21"/>
              </w:rPr>
              <w:t>16.7</w:t>
            </w:r>
            <w:r>
              <w:rPr>
                <w:szCs w:val="21"/>
              </w:rPr>
              <w:t>%</w:t>
            </w:r>
          </w:p>
        </w:tc>
        <w:tc>
          <w:tcPr>
            <w:tcW w:w="2333" w:type="dxa"/>
            <w:vAlign w:val="center"/>
          </w:tcPr>
          <w:p>
            <w:pPr>
              <w:spacing w:line="320" w:lineRule="exact"/>
              <w:jc w:val="center"/>
              <w:rPr>
                <w:rFonts w:hint="eastAsia"/>
                <w:szCs w:val="21"/>
              </w:rPr>
            </w:pP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 w:hRule="atLeast"/>
        </w:trPr>
        <w:tc>
          <w:tcPr>
            <w:tcW w:w="806" w:type="dxa"/>
            <w:vAlign w:val="center"/>
          </w:tcPr>
          <w:p>
            <w:pPr>
              <w:spacing w:line="320" w:lineRule="exact"/>
              <w:jc w:val="center"/>
              <w:rPr>
                <w:szCs w:val="21"/>
              </w:rPr>
            </w:pPr>
            <w:r>
              <w:rPr>
                <w:rFonts w:hint="eastAsia"/>
                <w:szCs w:val="21"/>
              </w:rPr>
              <w:t>5</w:t>
            </w:r>
          </w:p>
        </w:tc>
        <w:tc>
          <w:tcPr>
            <w:tcW w:w="2214" w:type="dxa"/>
            <w:gridSpan w:val="3"/>
            <w:vAlign w:val="center"/>
          </w:tcPr>
          <w:p>
            <w:pPr>
              <w:spacing w:line="320" w:lineRule="exact"/>
              <w:jc w:val="center"/>
              <w:rPr>
                <w:szCs w:val="21"/>
              </w:rPr>
            </w:pPr>
            <w:r>
              <w:rPr>
                <w:szCs w:val="21"/>
              </w:rPr>
              <w:t>绿地面积</w:t>
            </w:r>
          </w:p>
        </w:tc>
        <w:tc>
          <w:tcPr>
            <w:tcW w:w="837" w:type="dxa"/>
            <w:vAlign w:val="center"/>
          </w:tcPr>
          <w:p>
            <w:pPr>
              <w:spacing w:line="320" w:lineRule="exact"/>
              <w:jc w:val="center"/>
              <w:rPr>
                <w:szCs w:val="21"/>
              </w:rPr>
            </w:pPr>
            <w:r>
              <w:rPr>
                <w:szCs w:val="21"/>
              </w:rPr>
              <w:t>m</w:t>
            </w:r>
            <w:r>
              <w:rPr>
                <w:szCs w:val="21"/>
                <w:vertAlign w:val="superscript"/>
              </w:rPr>
              <w:t>2</w:t>
            </w:r>
          </w:p>
        </w:tc>
        <w:tc>
          <w:tcPr>
            <w:tcW w:w="2144" w:type="dxa"/>
            <w:vAlign w:val="center"/>
          </w:tcPr>
          <w:p>
            <w:pPr>
              <w:spacing w:line="320" w:lineRule="exact"/>
              <w:jc w:val="center"/>
              <w:rPr>
                <w:szCs w:val="21"/>
              </w:rPr>
            </w:pPr>
            <w:r>
              <w:rPr>
                <w:snapToGrid w:val="0"/>
                <w:szCs w:val="21"/>
              </w:rPr>
              <w:t>66220.4</w:t>
            </w:r>
          </w:p>
        </w:tc>
        <w:tc>
          <w:tcPr>
            <w:tcW w:w="2333" w:type="dxa"/>
            <w:vAlign w:val="center"/>
          </w:tcPr>
          <w:p>
            <w:pPr>
              <w:spacing w:line="320" w:lineRule="exact"/>
              <w:jc w:val="center"/>
              <w:rPr>
                <w:rFonts w:hint="eastAsia"/>
                <w:szCs w:val="21"/>
              </w:rPr>
            </w:pP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 w:hRule="atLeast"/>
        </w:trPr>
        <w:tc>
          <w:tcPr>
            <w:tcW w:w="806" w:type="dxa"/>
            <w:vAlign w:val="center"/>
          </w:tcPr>
          <w:p>
            <w:pPr>
              <w:spacing w:line="320" w:lineRule="exact"/>
              <w:jc w:val="center"/>
              <w:rPr>
                <w:szCs w:val="21"/>
              </w:rPr>
            </w:pPr>
            <w:r>
              <w:rPr>
                <w:rFonts w:hint="eastAsia"/>
                <w:szCs w:val="21"/>
              </w:rPr>
              <w:t>5</w:t>
            </w:r>
          </w:p>
        </w:tc>
        <w:tc>
          <w:tcPr>
            <w:tcW w:w="2214" w:type="dxa"/>
            <w:gridSpan w:val="3"/>
            <w:vAlign w:val="center"/>
          </w:tcPr>
          <w:p>
            <w:pPr>
              <w:spacing w:line="320" w:lineRule="exact"/>
              <w:jc w:val="center"/>
              <w:rPr>
                <w:szCs w:val="21"/>
              </w:rPr>
            </w:pPr>
            <w:r>
              <w:rPr>
                <w:rFonts w:hint="eastAsia"/>
                <w:szCs w:val="21"/>
              </w:rPr>
              <w:t>容积率</w:t>
            </w:r>
          </w:p>
        </w:tc>
        <w:tc>
          <w:tcPr>
            <w:tcW w:w="837" w:type="dxa"/>
            <w:vAlign w:val="center"/>
          </w:tcPr>
          <w:p>
            <w:pPr>
              <w:spacing w:line="320" w:lineRule="exact"/>
              <w:jc w:val="center"/>
              <w:rPr>
                <w:szCs w:val="21"/>
              </w:rPr>
            </w:pPr>
            <w:r>
              <w:rPr>
                <w:rFonts w:hint="eastAsia"/>
                <w:szCs w:val="21"/>
              </w:rPr>
              <w:t>/</w:t>
            </w:r>
          </w:p>
        </w:tc>
        <w:tc>
          <w:tcPr>
            <w:tcW w:w="2144" w:type="dxa"/>
            <w:vAlign w:val="center"/>
          </w:tcPr>
          <w:p>
            <w:pPr>
              <w:spacing w:line="320" w:lineRule="exact"/>
              <w:jc w:val="center"/>
              <w:rPr>
                <w:szCs w:val="21"/>
              </w:rPr>
            </w:pPr>
            <w:r>
              <w:rPr>
                <w:rFonts w:hint="eastAsia"/>
                <w:szCs w:val="21"/>
              </w:rPr>
              <w:t>1.3</w:t>
            </w:r>
          </w:p>
        </w:tc>
        <w:tc>
          <w:tcPr>
            <w:tcW w:w="2333" w:type="dxa"/>
            <w:vAlign w:val="center"/>
          </w:tcPr>
          <w:p>
            <w:pPr>
              <w:spacing w:line="320" w:lineRule="exact"/>
              <w:jc w:val="center"/>
              <w:rPr>
                <w:rFonts w:hint="eastAsia"/>
                <w:szCs w:val="21"/>
              </w:rPr>
            </w:pP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 w:hRule="atLeast"/>
        </w:trPr>
        <w:tc>
          <w:tcPr>
            <w:tcW w:w="806" w:type="dxa"/>
            <w:vAlign w:val="center"/>
          </w:tcPr>
          <w:p>
            <w:pPr>
              <w:spacing w:line="320" w:lineRule="exact"/>
              <w:jc w:val="center"/>
              <w:rPr>
                <w:szCs w:val="21"/>
              </w:rPr>
            </w:pPr>
            <w:r>
              <w:rPr>
                <w:rFonts w:hint="eastAsia"/>
                <w:szCs w:val="21"/>
              </w:rPr>
              <w:t>6</w:t>
            </w:r>
          </w:p>
        </w:tc>
        <w:tc>
          <w:tcPr>
            <w:tcW w:w="2214" w:type="dxa"/>
            <w:gridSpan w:val="3"/>
            <w:vAlign w:val="center"/>
          </w:tcPr>
          <w:p>
            <w:pPr>
              <w:spacing w:line="320" w:lineRule="exact"/>
              <w:jc w:val="center"/>
              <w:rPr>
                <w:szCs w:val="21"/>
              </w:rPr>
            </w:pPr>
            <w:r>
              <w:rPr>
                <w:rFonts w:hint="eastAsia"/>
                <w:szCs w:val="21"/>
              </w:rPr>
              <w:t>建筑密度</w:t>
            </w:r>
          </w:p>
        </w:tc>
        <w:tc>
          <w:tcPr>
            <w:tcW w:w="837" w:type="dxa"/>
            <w:vAlign w:val="center"/>
          </w:tcPr>
          <w:p>
            <w:pPr>
              <w:spacing w:line="320" w:lineRule="exact"/>
              <w:jc w:val="center"/>
              <w:rPr>
                <w:szCs w:val="21"/>
              </w:rPr>
            </w:pPr>
            <w:r>
              <w:rPr>
                <w:rFonts w:hint="eastAsia"/>
                <w:szCs w:val="21"/>
              </w:rPr>
              <w:t>%</w:t>
            </w:r>
          </w:p>
        </w:tc>
        <w:tc>
          <w:tcPr>
            <w:tcW w:w="2144" w:type="dxa"/>
            <w:vAlign w:val="center"/>
          </w:tcPr>
          <w:p>
            <w:pPr>
              <w:spacing w:line="320" w:lineRule="exact"/>
              <w:jc w:val="center"/>
              <w:rPr>
                <w:szCs w:val="21"/>
              </w:rPr>
            </w:pPr>
            <w:r>
              <w:rPr>
                <w:rFonts w:hint="eastAsia"/>
                <w:szCs w:val="21"/>
              </w:rPr>
              <w:t>41.9</w:t>
            </w:r>
          </w:p>
        </w:tc>
        <w:tc>
          <w:tcPr>
            <w:tcW w:w="2333" w:type="dxa"/>
            <w:vAlign w:val="center"/>
          </w:tcPr>
          <w:p>
            <w:pPr>
              <w:spacing w:line="320" w:lineRule="exact"/>
              <w:jc w:val="center"/>
              <w:rPr>
                <w:rFonts w:hint="eastAsia"/>
                <w:szCs w:val="21"/>
              </w:rPr>
            </w:pPr>
            <w:r>
              <w:rPr>
                <w:rFonts w:hint="eastAsia"/>
                <w:szCs w:val="21"/>
              </w:rPr>
              <w:t>/</w:t>
            </w:r>
          </w:p>
        </w:tc>
      </w:tr>
    </w:tbl>
    <w:p>
      <w:pPr>
        <w:adjustRightInd w:val="0"/>
        <w:snapToGrid w:val="0"/>
        <w:rPr>
          <w:rFonts w:hint="eastAsia"/>
          <w:b/>
        </w:rPr>
      </w:pPr>
    </w:p>
    <w:p>
      <w:pPr>
        <w:pStyle w:val="4"/>
        <w:adjustRightInd w:val="0"/>
        <w:snapToGrid w:val="0"/>
        <w:spacing w:before="0" w:after="0" w:line="360" w:lineRule="auto"/>
        <w:rPr>
          <w:bCs w:val="0"/>
          <w:sz w:val="24"/>
          <w:szCs w:val="24"/>
        </w:rPr>
      </w:pPr>
      <w:bookmarkStart w:id="81" w:name="_Toc435690395"/>
      <w:r>
        <w:rPr>
          <w:rFonts w:hint="eastAsia"/>
          <w:bCs w:val="0"/>
          <w:sz w:val="24"/>
          <w:szCs w:val="24"/>
        </w:rPr>
        <w:t>2.1.3</w:t>
      </w:r>
      <w:r>
        <w:rPr>
          <w:bCs w:val="0"/>
          <w:sz w:val="24"/>
          <w:szCs w:val="24"/>
        </w:rPr>
        <w:t>平面布置与周围环境概况</w:t>
      </w:r>
      <w:bookmarkEnd w:id="81"/>
    </w:p>
    <w:p>
      <w:pPr>
        <w:pStyle w:val="23"/>
        <w:ind w:firstLine="480" w:firstLineChars="200"/>
        <w:rPr>
          <w:rFonts w:hint="eastAsia" w:ascii="Times New Roman" w:eastAsia="宋体"/>
          <w:color w:val="auto"/>
        </w:rPr>
      </w:pPr>
      <w:r>
        <w:rPr>
          <w:rFonts w:ascii="Times New Roman" w:eastAsia="宋体"/>
          <w:color w:val="auto"/>
        </w:rPr>
        <w:t>项目北侧为龙藏大道，东侧隔园区道路为苏宁物流</w:t>
      </w:r>
      <w:r>
        <w:rPr>
          <w:rFonts w:hint="eastAsia" w:ascii="Times New Roman" w:eastAsia="宋体"/>
          <w:color w:val="auto"/>
        </w:rPr>
        <w:t>中心</w:t>
      </w:r>
      <w:r>
        <w:rPr>
          <w:rFonts w:ascii="Times New Roman" w:eastAsia="宋体"/>
          <w:color w:val="auto"/>
        </w:rPr>
        <w:t>项目，南侧隔龙飞路为金叶花园小区、正达公寓，西侧从北向南依次分布有南京领秀服饰有限公司、普天大唐信息电子公司、江苏华瑞泰科技股份有限公司及宝盛不锈钢有限公司。项目周围概况见图</w:t>
      </w:r>
      <w:r>
        <w:rPr>
          <w:rFonts w:hint="eastAsia" w:ascii="Times New Roman" w:eastAsia="宋体"/>
          <w:color w:val="auto"/>
        </w:rPr>
        <w:t>2</w:t>
      </w:r>
      <w:r>
        <w:rPr>
          <w:rFonts w:ascii="Times New Roman" w:eastAsia="宋体"/>
          <w:color w:val="auto"/>
        </w:rPr>
        <w:t>。</w:t>
      </w:r>
    </w:p>
    <w:p>
      <w:pPr>
        <w:spacing w:line="360" w:lineRule="auto"/>
        <w:ind w:firstLine="480"/>
        <w:rPr>
          <w:rFonts w:hint="eastAsia"/>
          <w:sz w:val="24"/>
        </w:rPr>
      </w:pPr>
      <w:r>
        <w:rPr>
          <w:sz w:val="24"/>
        </w:rPr>
        <w:t>项目地块呈不规则四边形，总用地面积约</w:t>
      </w:r>
      <w:r>
        <w:rPr>
          <w:snapToGrid w:val="0"/>
          <w:color w:val="000000"/>
          <w:sz w:val="24"/>
        </w:rPr>
        <w:t>396449</w:t>
      </w:r>
      <w:r>
        <w:rPr>
          <w:sz w:val="24"/>
        </w:rPr>
        <w:t>m</w:t>
      </w:r>
      <w:r>
        <w:rPr>
          <w:sz w:val="24"/>
          <w:vertAlign w:val="superscript"/>
        </w:rPr>
        <w:t>2</w:t>
      </w:r>
      <w:r>
        <w:rPr>
          <w:sz w:val="24"/>
        </w:rPr>
        <w:t>。主要建设</w:t>
      </w:r>
      <w:r>
        <w:rPr>
          <w:snapToGrid w:val="0"/>
          <w:color w:val="000000"/>
          <w:sz w:val="24"/>
        </w:rPr>
        <w:t>新建分拣中心、仓储仓库、研发</w:t>
      </w:r>
      <w:r>
        <w:rPr>
          <w:rFonts w:hint="eastAsia"/>
          <w:snapToGrid w:val="0"/>
          <w:color w:val="000000"/>
          <w:sz w:val="24"/>
        </w:rPr>
        <w:t>办公楼</w:t>
      </w:r>
      <w:r>
        <w:rPr>
          <w:snapToGrid w:val="0"/>
          <w:color w:val="000000"/>
          <w:sz w:val="24"/>
        </w:rPr>
        <w:t>等</w:t>
      </w:r>
      <w:r>
        <w:rPr>
          <w:sz w:val="24"/>
        </w:rPr>
        <w:t>，总建筑面积约</w:t>
      </w:r>
      <w:r>
        <w:rPr>
          <w:snapToGrid w:val="0"/>
          <w:color w:val="000000"/>
          <w:sz w:val="24"/>
        </w:rPr>
        <w:t>516562.44</w:t>
      </w:r>
      <w:r>
        <w:rPr>
          <w:sz w:val="24"/>
        </w:rPr>
        <w:t>m</w:t>
      </w:r>
      <w:r>
        <w:rPr>
          <w:sz w:val="24"/>
          <w:vertAlign w:val="superscript"/>
        </w:rPr>
        <w:t>2</w:t>
      </w:r>
      <w:r>
        <w:rPr>
          <w:sz w:val="24"/>
        </w:rPr>
        <w:t>。项目共建设仓储仓库</w:t>
      </w:r>
      <w:r>
        <w:rPr>
          <w:rFonts w:hint="eastAsia"/>
          <w:sz w:val="24"/>
        </w:rPr>
        <w:t>4座，仓库</w:t>
      </w:r>
      <w:r>
        <w:rPr>
          <w:sz w:val="24"/>
        </w:rPr>
        <w:t>分布在地块中部，靠近各个货车出入口。分拣中心位于地块中部偏东的位置。</w:t>
      </w:r>
    </w:p>
    <w:p>
      <w:pPr>
        <w:adjustRightInd w:val="0"/>
        <w:snapToGrid w:val="0"/>
        <w:spacing w:line="360" w:lineRule="auto"/>
        <w:ind w:firstLine="480" w:firstLineChars="200"/>
        <w:rPr>
          <w:rFonts w:hint="eastAsia"/>
          <w:sz w:val="24"/>
        </w:rPr>
      </w:pPr>
      <w:r>
        <w:rPr>
          <w:sz w:val="24"/>
        </w:rPr>
        <w:t>项目研发</w:t>
      </w:r>
      <w:r>
        <w:rPr>
          <w:rFonts w:hint="eastAsia"/>
          <w:sz w:val="24"/>
        </w:rPr>
        <w:t>办公楼</w:t>
      </w:r>
      <w:r>
        <w:rPr>
          <w:sz w:val="24"/>
        </w:rPr>
        <w:t>位于地块的</w:t>
      </w:r>
      <w:r>
        <w:rPr>
          <w:rFonts w:hint="eastAsia"/>
          <w:sz w:val="24"/>
        </w:rPr>
        <w:t>北部及</w:t>
      </w:r>
      <w:r>
        <w:rPr>
          <w:sz w:val="24"/>
        </w:rPr>
        <w:t>西南侧</w:t>
      </w:r>
      <w:r>
        <w:rPr>
          <w:rFonts w:hint="eastAsia"/>
          <w:sz w:val="24"/>
        </w:rPr>
        <w:t>，本项目研发楼主要功能为物流配送研发办公用房，包括物流软件研发、网站维护、数据中心及资料库，无工业生产，不建设食堂</w:t>
      </w:r>
      <w:r>
        <w:rPr>
          <w:sz w:val="24"/>
        </w:rPr>
        <w:t>。</w:t>
      </w:r>
    </w:p>
    <w:p>
      <w:pPr>
        <w:adjustRightInd w:val="0"/>
        <w:snapToGrid w:val="0"/>
        <w:spacing w:line="360" w:lineRule="auto"/>
        <w:ind w:firstLine="480" w:firstLineChars="200"/>
        <w:rPr>
          <w:rFonts w:hint="eastAsia"/>
          <w:sz w:val="24"/>
        </w:rPr>
      </w:pPr>
      <w:r>
        <w:rPr>
          <w:sz w:val="24"/>
        </w:rPr>
        <w:t>项目货车出入口设置在北侧龙藏大道、西侧及东侧园区道路各三处，</w:t>
      </w:r>
      <w:r>
        <w:rPr>
          <w:rFonts w:hint="eastAsia"/>
          <w:sz w:val="24"/>
        </w:rPr>
        <w:t>可以</w:t>
      </w:r>
      <w:r>
        <w:rPr>
          <w:sz w:val="24"/>
        </w:rPr>
        <w:t>满足本项目物流需要，保证疏散快捷。本项目运输方式主要依靠车辆，采用陆路</w:t>
      </w:r>
      <w:r>
        <w:rPr>
          <w:rFonts w:hint="eastAsia"/>
          <w:sz w:val="24"/>
        </w:rPr>
        <w:t>，物流配送力量由项目单位、其他物流配送公司、社会车辆等组成。本</w:t>
      </w:r>
      <w:r>
        <w:rPr>
          <w:rFonts w:hint="eastAsia"/>
          <w:kern w:val="0"/>
          <w:sz w:val="24"/>
        </w:rPr>
        <w:t>项目内不设加油站，车辆维修、养护、冲洗均委托社会专业汽修、清洁公司，不在项目场地内进行车辆维修、养护及冲洗</w:t>
      </w:r>
      <w:r>
        <w:rPr>
          <w:sz w:val="24"/>
        </w:rPr>
        <w:t>。厂区绿化分</w:t>
      </w:r>
      <w:r>
        <w:rPr>
          <w:rFonts w:hint="eastAsia"/>
          <w:sz w:val="24"/>
        </w:rPr>
        <w:t>“</w:t>
      </w:r>
      <w:r>
        <w:rPr>
          <w:sz w:val="24"/>
        </w:rPr>
        <w:t>点、线、块</w:t>
      </w:r>
      <w:r>
        <w:rPr>
          <w:rFonts w:hint="eastAsia"/>
          <w:sz w:val="24"/>
        </w:rPr>
        <w:t>”</w:t>
      </w:r>
      <w:r>
        <w:rPr>
          <w:sz w:val="24"/>
        </w:rPr>
        <w:t>布置。厂区围墙四周、车间周围应结合防尘、减噪、美化环境等功能进行，</w:t>
      </w:r>
      <w:r>
        <w:rPr>
          <w:rFonts w:hint="eastAsia"/>
          <w:sz w:val="24"/>
        </w:rPr>
        <w:t>绿化植物</w:t>
      </w:r>
      <w:r>
        <w:rPr>
          <w:sz w:val="24"/>
        </w:rPr>
        <w:t>以美化环境为主，种植花草。综上，项目总平面布置功能分区合理，可以满足生产及物流、人流、消防等需要，</w:t>
      </w:r>
      <w:r>
        <w:rPr>
          <w:rFonts w:hint="eastAsia"/>
          <w:sz w:val="24"/>
        </w:rPr>
        <w:t>项目总平面布置图见图3</w:t>
      </w:r>
      <w:r>
        <w:rPr>
          <w:sz w:val="24"/>
        </w:rPr>
        <w:t>。</w:t>
      </w:r>
    </w:p>
    <w:p>
      <w:pPr>
        <w:pStyle w:val="3"/>
        <w:spacing w:before="0" w:after="0" w:line="360" w:lineRule="auto"/>
        <w:rPr>
          <w:rFonts w:ascii="Times New Roman" w:hAnsi="Times New Roman" w:eastAsia="宋体"/>
          <w:b/>
          <w:sz w:val="28"/>
          <w:szCs w:val="28"/>
        </w:rPr>
      </w:pPr>
      <w:bookmarkStart w:id="82" w:name="_Toc319912621"/>
      <w:bookmarkStart w:id="83" w:name="_Toc433723067"/>
      <w:bookmarkStart w:id="84" w:name="_Toc435690396"/>
      <w:r>
        <w:rPr>
          <w:rFonts w:hint="eastAsia" w:ascii="Times New Roman" w:hAnsi="Times New Roman" w:eastAsia="宋体"/>
          <w:b/>
          <w:sz w:val="28"/>
          <w:szCs w:val="28"/>
        </w:rPr>
        <w:t>2.2</w:t>
      </w:r>
      <w:r>
        <w:rPr>
          <w:rFonts w:ascii="Times New Roman" w:hAnsi="Times New Roman" w:eastAsia="宋体"/>
          <w:b/>
          <w:sz w:val="28"/>
          <w:szCs w:val="28"/>
        </w:rPr>
        <w:t>公用及辅助工程</w:t>
      </w:r>
      <w:bookmarkEnd w:id="82"/>
      <w:bookmarkEnd w:id="83"/>
      <w:bookmarkEnd w:id="84"/>
    </w:p>
    <w:p>
      <w:pPr>
        <w:adjustRightInd w:val="0"/>
        <w:snapToGrid w:val="0"/>
        <w:spacing w:line="360" w:lineRule="auto"/>
        <w:ind w:firstLine="480" w:firstLineChars="200"/>
        <w:rPr>
          <w:sz w:val="24"/>
        </w:rPr>
      </w:pPr>
      <w:r>
        <w:rPr>
          <w:sz w:val="24"/>
        </w:rPr>
        <w:t>项目公用及辅助工程</w:t>
      </w:r>
      <w:r>
        <w:rPr>
          <w:rFonts w:hint="eastAsia"/>
          <w:sz w:val="24"/>
        </w:rPr>
        <w:t>见</w:t>
      </w:r>
      <w:r>
        <w:rPr>
          <w:sz w:val="24"/>
        </w:rPr>
        <w:t>表</w:t>
      </w:r>
      <w:r>
        <w:rPr>
          <w:rFonts w:hint="eastAsia"/>
          <w:sz w:val="24"/>
        </w:rPr>
        <w:t>2.2-1</w:t>
      </w:r>
      <w:r>
        <w:rPr>
          <w:sz w:val="24"/>
        </w:rPr>
        <w:t>。</w:t>
      </w:r>
    </w:p>
    <w:p>
      <w:pPr>
        <w:adjustRightInd w:val="0"/>
        <w:snapToGrid w:val="0"/>
        <w:ind w:firstLine="422" w:firstLineChars="200"/>
        <w:jc w:val="center"/>
        <w:rPr>
          <w:rFonts w:hint="eastAsia"/>
          <w:b/>
        </w:rPr>
      </w:pPr>
      <w:r>
        <w:rPr>
          <w:b/>
        </w:rPr>
        <w:t>表</w:t>
      </w:r>
      <w:r>
        <w:rPr>
          <w:rFonts w:hint="eastAsia"/>
          <w:b/>
        </w:rPr>
        <w:t>2</w:t>
      </w:r>
      <w:r>
        <w:rPr>
          <w:b/>
        </w:rPr>
        <w:t>.2-1  项目公用及辅助工程</w:t>
      </w:r>
    </w:p>
    <w:tbl>
      <w:tblPr>
        <w:tblStyle w:val="59"/>
        <w:tblW w:w="85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5"/>
        <w:gridCol w:w="1160"/>
        <w:gridCol w:w="3771"/>
        <w:gridCol w:w="3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55" w:type="dxa"/>
            <w:gridSpan w:val="2"/>
            <w:shd w:val="clear" w:color="auto" w:fill="auto"/>
            <w:vAlign w:val="center"/>
          </w:tcPr>
          <w:p>
            <w:pPr>
              <w:spacing w:line="320" w:lineRule="exact"/>
              <w:jc w:val="center"/>
              <w:rPr>
                <w:szCs w:val="21"/>
              </w:rPr>
            </w:pPr>
            <w:r>
              <w:rPr>
                <w:szCs w:val="21"/>
              </w:rPr>
              <w:t>建设名称</w:t>
            </w:r>
          </w:p>
        </w:tc>
        <w:tc>
          <w:tcPr>
            <w:tcW w:w="3771" w:type="dxa"/>
            <w:shd w:val="clear" w:color="auto" w:fill="auto"/>
            <w:vAlign w:val="center"/>
          </w:tcPr>
          <w:p>
            <w:pPr>
              <w:spacing w:line="320" w:lineRule="exact"/>
              <w:jc w:val="center"/>
              <w:rPr>
                <w:szCs w:val="21"/>
              </w:rPr>
            </w:pPr>
            <w:r>
              <w:rPr>
                <w:szCs w:val="21"/>
              </w:rPr>
              <w:t>工程设计能力</w:t>
            </w:r>
          </w:p>
        </w:tc>
        <w:tc>
          <w:tcPr>
            <w:tcW w:w="3002" w:type="dxa"/>
            <w:shd w:val="clear" w:color="auto" w:fill="auto"/>
            <w:vAlign w:val="center"/>
          </w:tcPr>
          <w:p>
            <w:pPr>
              <w:spacing w:line="320" w:lineRule="exact"/>
              <w:jc w:val="center"/>
              <w:rPr>
                <w:szCs w:val="21"/>
              </w:rPr>
            </w:pPr>
            <w:r>
              <w:rPr>
                <w:szCs w:val="21"/>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95" w:type="dxa"/>
            <w:vMerge w:val="restart"/>
            <w:shd w:val="clear" w:color="auto" w:fill="auto"/>
            <w:vAlign w:val="center"/>
          </w:tcPr>
          <w:p>
            <w:pPr>
              <w:spacing w:line="320" w:lineRule="exact"/>
              <w:jc w:val="center"/>
              <w:rPr>
                <w:szCs w:val="21"/>
              </w:rPr>
            </w:pPr>
            <w:r>
              <w:rPr>
                <w:szCs w:val="21"/>
              </w:rPr>
              <w:t>贮运</w:t>
            </w:r>
          </w:p>
          <w:p>
            <w:pPr>
              <w:spacing w:line="320" w:lineRule="exact"/>
              <w:jc w:val="center"/>
              <w:rPr>
                <w:szCs w:val="21"/>
              </w:rPr>
            </w:pPr>
            <w:r>
              <w:rPr>
                <w:szCs w:val="21"/>
              </w:rPr>
              <w:t>工程</w:t>
            </w:r>
          </w:p>
        </w:tc>
        <w:tc>
          <w:tcPr>
            <w:tcW w:w="1160" w:type="dxa"/>
            <w:shd w:val="clear" w:color="auto" w:fill="auto"/>
            <w:vAlign w:val="center"/>
          </w:tcPr>
          <w:p>
            <w:pPr>
              <w:spacing w:line="320" w:lineRule="exact"/>
              <w:jc w:val="center"/>
              <w:rPr>
                <w:szCs w:val="21"/>
              </w:rPr>
            </w:pPr>
            <w:r>
              <w:rPr>
                <w:szCs w:val="21"/>
              </w:rPr>
              <w:t>原料仓库</w:t>
            </w:r>
          </w:p>
        </w:tc>
        <w:tc>
          <w:tcPr>
            <w:tcW w:w="3771" w:type="dxa"/>
            <w:shd w:val="clear" w:color="auto" w:fill="auto"/>
            <w:vAlign w:val="center"/>
          </w:tcPr>
          <w:p>
            <w:pPr>
              <w:spacing w:line="320" w:lineRule="exact"/>
              <w:jc w:val="center"/>
              <w:rPr>
                <w:szCs w:val="21"/>
              </w:rPr>
            </w:pPr>
            <w:r>
              <w:rPr>
                <w:szCs w:val="21"/>
              </w:rPr>
              <w:t>新建</w:t>
            </w:r>
            <w:r>
              <w:rPr>
                <w:rFonts w:hint="eastAsia"/>
                <w:szCs w:val="21"/>
              </w:rPr>
              <w:t>物流商品</w:t>
            </w:r>
            <w:r>
              <w:rPr>
                <w:szCs w:val="21"/>
              </w:rPr>
              <w:t>仓库</w:t>
            </w:r>
            <w:r>
              <w:rPr>
                <w:rFonts w:hint="eastAsia"/>
                <w:szCs w:val="21"/>
              </w:rPr>
              <w:t>4</w:t>
            </w:r>
            <w:r>
              <w:rPr>
                <w:szCs w:val="21"/>
              </w:rPr>
              <w:t>座</w:t>
            </w:r>
          </w:p>
        </w:tc>
        <w:tc>
          <w:tcPr>
            <w:tcW w:w="3002" w:type="dxa"/>
            <w:shd w:val="clear" w:color="auto" w:fill="auto"/>
            <w:vAlign w:val="center"/>
          </w:tcPr>
          <w:p>
            <w:pPr>
              <w:spacing w:line="320" w:lineRule="exact"/>
              <w:jc w:val="center"/>
              <w:rPr>
                <w:szCs w:val="21"/>
              </w:rPr>
            </w:pP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95" w:type="dxa"/>
            <w:vMerge w:val="continue"/>
            <w:shd w:val="clear" w:color="auto" w:fill="auto"/>
            <w:vAlign w:val="center"/>
          </w:tcPr>
          <w:p>
            <w:pPr>
              <w:spacing w:line="320" w:lineRule="exact"/>
              <w:jc w:val="center"/>
              <w:rPr>
                <w:szCs w:val="21"/>
              </w:rPr>
            </w:pPr>
          </w:p>
        </w:tc>
        <w:tc>
          <w:tcPr>
            <w:tcW w:w="1160" w:type="dxa"/>
            <w:shd w:val="clear" w:color="auto" w:fill="auto"/>
            <w:vAlign w:val="center"/>
          </w:tcPr>
          <w:p>
            <w:pPr>
              <w:spacing w:line="320" w:lineRule="exact"/>
              <w:jc w:val="center"/>
              <w:rPr>
                <w:szCs w:val="21"/>
              </w:rPr>
            </w:pPr>
            <w:r>
              <w:rPr>
                <w:szCs w:val="21"/>
              </w:rPr>
              <w:t>运输</w:t>
            </w:r>
          </w:p>
        </w:tc>
        <w:tc>
          <w:tcPr>
            <w:tcW w:w="3771" w:type="dxa"/>
            <w:shd w:val="clear" w:color="auto" w:fill="auto"/>
            <w:vAlign w:val="center"/>
          </w:tcPr>
          <w:p>
            <w:pPr>
              <w:spacing w:line="320" w:lineRule="exact"/>
              <w:jc w:val="center"/>
              <w:rPr>
                <w:szCs w:val="21"/>
              </w:rPr>
            </w:pPr>
            <w:bookmarkStart w:id="85" w:name="OLE_LINK7"/>
            <w:r>
              <w:rPr>
                <w:szCs w:val="21"/>
              </w:rPr>
              <w:t>收货车辆：1、采购入库190辆/天；2、中转、调拨、退货入库64辆/天；3、快递入库160辆/天；</w:t>
            </w:r>
          </w:p>
          <w:p>
            <w:pPr>
              <w:spacing w:line="320" w:lineRule="exact"/>
              <w:jc w:val="center"/>
              <w:rPr>
                <w:szCs w:val="21"/>
              </w:rPr>
            </w:pPr>
            <w:r>
              <w:rPr>
                <w:szCs w:val="21"/>
              </w:rPr>
              <w:t>发货车辆：1、本市配送235辆/天；2、外市配送170辆/天</w:t>
            </w:r>
            <w:bookmarkEnd w:id="85"/>
          </w:p>
        </w:tc>
        <w:tc>
          <w:tcPr>
            <w:tcW w:w="3002" w:type="dxa"/>
            <w:shd w:val="clear" w:color="auto" w:fill="auto"/>
            <w:vAlign w:val="center"/>
          </w:tcPr>
          <w:p>
            <w:pPr>
              <w:spacing w:line="320" w:lineRule="exact"/>
              <w:jc w:val="center"/>
              <w:rPr>
                <w:szCs w:val="21"/>
              </w:rPr>
            </w:pPr>
            <w:r>
              <w:rPr>
                <w:rFonts w:hint="eastAsia"/>
                <w:szCs w:val="21"/>
              </w:rPr>
              <w:t>物流配送力量由项目单位、其他物流配送公司、社会车辆等组成。本项目内不设加油站，车辆维修、养护、冲洗均委托社会专业汽修、清洁公司，不在项目场地内进行车辆维修、养护及冲洗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595" w:type="dxa"/>
            <w:vMerge w:val="restart"/>
            <w:shd w:val="clear" w:color="auto" w:fill="auto"/>
            <w:vAlign w:val="center"/>
          </w:tcPr>
          <w:p>
            <w:pPr>
              <w:spacing w:line="320" w:lineRule="exact"/>
              <w:jc w:val="center"/>
              <w:rPr>
                <w:szCs w:val="21"/>
              </w:rPr>
            </w:pPr>
            <w:r>
              <w:rPr>
                <w:szCs w:val="21"/>
              </w:rPr>
              <w:t>公用</w:t>
            </w:r>
          </w:p>
          <w:p>
            <w:pPr>
              <w:spacing w:line="320" w:lineRule="exact"/>
              <w:jc w:val="center"/>
              <w:rPr>
                <w:szCs w:val="21"/>
              </w:rPr>
            </w:pPr>
            <w:r>
              <w:rPr>
                <w:szCs w:val="21"/>
              </w:rPr>
              <w:t>工程</w:t>
            </w:r>
          </w:p>
        </w:tc>
        <w:tc>
          <w:tcPr>
            <w:tcW w:w="1160" w:type="dxa"/>
            <w:shd w:val="clear" w:color="auto" w:fill="auto"/>
            <w:vAlign w:val="center"/>
          </w:tcPr>
          <w:p>
            <w:pPr>
              <w:spacing w:line="320" w:lineRule="exact"/>
              <w:jc w:val="center"/>
              <w:rPr>
                <w:szCs w:val="21"/>
              </w:rPr>
            </w:pPr>
            <w:r>
              <w:rPr>
                <w:szCs w:val="21"/>
              </w:rPr>
              <w:t>给水</w:t>
            </w:r>
          </w:p>
        </w:tc>
        <w:tc>
          <w:tcPr>
            <w:tcW w:w="3771" w:type="dxa"/>
            <w:shd w:val="clear" w:color="auto" w:fill="auto"/>
            <w:vAlign w:val="center"/>
          </w:tcPr>
          <w:p>
            <w:pPr>
              <w:spacing w:line="320" w:lineRule="exact"/>
              <w:jc w:val="center"/>
              <w:rPr>
                <w:szCs w:val="21"/>
              </w:rPr>
            </w:pPr>
            <w:r>
              <w:rPr>
                <w:szCs w:val="21"/>
              </w:rPr>
              <w:t>新鲜水用量</w:t>
            </w:r>
            <w:r>
              <w:rPr>
                <w:rFonts w:hint="eastAsia"/>
                <w:szCs w:val="21"/>
              </w:rPr>
              <w:t>60935</w:t>
            </w:r>
            <w:r>
              <w:rPr>
                <w:szCs w:val="21"/>
              </w:rPr>
              <w:t>t/a</w:t>
            </w:r>
          </w:p>
        </w:tc>
        <w:tc>
          <w:tcPr>
            <w:tcW w:w="3002" w:type="dxa"/>
            <w:shd w:val="clear" w:color="auto" w:fill="auto"/>
            <w:vAlign w:val="center"/>
          </w:tcPr>
          <w:p>
            <w:pPr>
              <w:spacing w:line="320" w:lineRule="exact"/>
              <w:jc w:val="center"/>
              <w:rPr>
                <w:szCs w:val="21"/>
              </w:rPr>
            </w:pPr>
            <w:r>
              <w:rPr>
                <w:szCs w:val="21"/>
              </w:rPr>
              <w:t>南京市供水有限公司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595" w:type="dxa"/>
            <w:vMerge w:val="continue"/>
            <w:shd w:val="clear" w:color="auto" w:fill="auto"/>
            <w:vAlign w:val="center"/>
          </w:tcPr>
          <w:p>
            <w:pPr>
              <w:spacing w:line="320" w:lineRule="exact"/>
              <w:jc w:val="center"/>
              <w:rPr>
                <w:szCs w:val="21"/>
              </w:rPr>
            </w:pPr>
          </w:p>
        </w:tc>
        <w:tc>
          <w:tcPr>
            <w:tcW w:w="1160" w:type="dxa"/>
            <w:shd w:val="clear" w:color="auto" w:fill="auto"/>
            <w:vAlign w:val="center"/>
          </w:tcPr>
          <w:p>
            <w:pPr>
              <w:spacing w:line="320" w:lineRule="exact"/>
              <w:jc w:val="center"/>
              <w:rPr>
                <w:szCs w:val="21"/>
              </w:rPr>
            </w:pPr>
            <w:r>
              <w:rPr>
                <w:szCs w:val="21"/>
              </w:rPr>
              <w:t>排水</w:t>
            </w:r>
          </w:p>
        </w:tc>
        <w:tc>
          <w:tcPr>
            <w:tcW w:w="3771" w:type="dxa"/>
            <w:shd w:val="clear" w:color="auto" w:fill="auto"/>
            <w:vAlign w:val="center"/>
          </w:tcPr>
          <w:p>
            <w:pPr>
              <w:spacing w:line="320" w:lineRule="exact"/>
              <w:jc w:val="center"/>
              <w:rPr>
                <w:szCs w:val="21"/>
              </w:rPr>
            </w:pPr>
            <w:r>
              <w:rPr>
                <w:szCs w:val="21"/>
              </w:rPr>
              <w:t>厂区雨污分流，废水排放量为</w:t>
            </w:r>
            <w:r>
              <w:rPr>
                <w:rFonts w:hint="eastAsia"/>
                <w:szCs w:val="21"/>
              </w:rPr>
              <w:t>26816</w:t>
            </w:r>
            <w:r>
              <w:rPr>
                <w:szCs w:val="21"/>
              </w:rPr>
              <w:t>t/a，经化粪池处理后接管城南污水处理厂</w:t>
            </w:r>
          </w:p>
        </w:tc>
        <w:tc>
          <w:tcPr>
            <w:tcW w:w="3002" w:type="dxa"/>
            <w:shd w:val="clear" w:color="auto" w:fill="auto"/>
            <w:vAlign w:val="center"/>
          </w:tcPr>
          <w:p>
            <w:pPr>
              <w:spacing w:line="320" w:lineRule="exact"/>
              <w:jc w:val="center"/>
              <w:rPr>
                <w:szCs w:val="21"/>
              </w:rPr>
            </w:pP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2" w:hRule="atLeast"/>
        </w:trPr>
        <w:tc>
          <w:tcPr>
            <w:tcW w:w="595" w:type="dxa"/>
            <w:vMerge w:val="continue"/>
            <w:shd w:val="clear" w:color="auto" w:fill="auto"/>
            <w:vAlign w:val="center"/>
          </w:tcPr>
          <w:p>
            <w:pPr>
              <w:spacing w:line="320" w:lineRule="exact"/>
              <w:jc w:val="center"/>
              <w:rPr>
                <w:szCs w:val="21"/>
              </w:rPr>
            </w:pPr>
          </w:p>
        </w:tc>
        <w:tc>
          <w:tcPr>
            <w:tcW w:w="1160" w:type="dxa"/>
            <w:shd w:val="clear" w:color="auto" w:fill="auto"/>
            <w:vAlign w:val="center"/>
          </w:tcPr>
          <w:p>
            <w:pPr>
              <w:spacing w:line="320" w:lineRule="exact"/>
              <w:jc w:val="center"/>
              <w:rPr>
                <w:szCs w:val="21"/>
              </w:rPr>
            </w:pPr>
            <w:r>
              <w:rPr>
                <w:szCs w:val="21"/>
              </w:rPr>
              <w:t>供电</w:t>
            </w:r>
          </w:p>
        </w:tc>
        <w:tc>
          <w:tcPr>
            <w:tcW w:w="3771" w:type="dxa"/>
            <w:shd w:val="clear" w:color="auto" w:fill="auto"/>
            <w:vAlign w:val="center"/>
          </w:tcPr>
          <w:p>
            <w:pPr>
              <w:spacing w:line="320" w:lineRule="exact"/>
              <w:jc w:val="center"/>
              <w:rPr>
                <w:szCs w:val="21"/>
              </w:rPr>
            </w:pPr>
            <w:r>
              <w:rPr>
                <w:rFonts w:hint="eastAsia"/>
                <w:szCs w:val="21"/>
              </w:rPr>
              <w:t>455.9</w:t>
            </w:r>
            <w:r>
              <w:rPr>
                <w:szCs w:val="21"/>
              </w:rPr>
              <w:t>万度/年</w:t>
            </w:r>
          </w:p>
        </w:tc>
        <w:tc>
          <w:tcPr>
            <w:tcW w:w="3002" w:type="dxa"/>
            <w:shd w:val="clear" w:color="auto" w:fill="auto"/>
            <w:vAlign w:val="center"/>
          </w:tcPr>
          <w:p>
            <w:pPr>
              <w:spacing w:line="320" w:lineRule="exact"/>
              <w:jc w:val="center"/>
              <w:rPr>
                <w:szCs w:val="21"/>
              </w:rPr>
            </w:pPr>
            <w:r>
              <w:rPr>
                <w:szCs w:val="21"/>
              </w:rPr>
              <w:t>由市政电网供电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0" w:hRule="atLeast"/>
        </w:trPr>
        <w:tc>
          <w:tcPr>
            <w:tcW w:w="595" w:type="dxa"/>
            <w:vMerge w:val="continue"/>
            <w:shd w:val="clear" w:color="auto" w:fill="auto"/>
            <w:vAlign w:val="center"/>
          </w:tcPr>
          <w:p>
            <w:pPr>
              <w:spacing w:line="320" w:lineRule="exact"/>
              <w:jc w:val="center"/>
              <w:rPr>
                <w:szCs w:val="21"/>
              </w:rPr>
            </w:pPr>
          </w:p>
        </w:tc>
        <w:tc>
          <w:tcPr>
            <w:tcW w:w="1160" w:type="dxa"/>
            <w:shd w:val="clear" w:color="auto" w:fill="auto"/>
            <w:vAlign w:val="center"/>
          </w:tcPr>
          <w:p>
            <w:pPr>
              <w:spacing w:line="320" w:lineRule="exact"/>
              <w:jc w:val="center"/>
              <w:rPr>
                <w:szCs w:val="21"/>
              </w:rPr>
            </w:pPr>
            <w:r>
              <w:rPr>
                <w:szCs w:val="21"/>
              </w:rPr>
              <w:t>绿化</w:t>
            </w:r>
          </w:p>
        </w:tc>
        <w:tc>
          <w:tcPr>
            <w:tcW w:w="3771" w:type="dxa"/>
            <w:shd w:val="clear" w:color="auto" w:fill="auto"/>
            <w:vAlign w:val="center"/>
          </w:tcPr>
          <w:p>
            <w:pPr>
              <w:spacing w:line="320" w:lineRule="exact"/>
              <w:jc w:val="center"/>
              <w:rPr>
                <w:szCs w:val="21"/>
              </w:rPr>
            </w:pPr>
            <w:r>
              <w:rPr>
                <w:szCs w:val="21"/>
              </w:rPr>
              <w:t>新增绿化面积66220.4m</w:t>
            </w:r>
            <w:r>
              <w:rPr>
                <w:szCs w:val="21"/>
                <w:vertAlign w:val="superscript"/>
              </w:rPr>
              <w:t>2</w:t>
            </w:r>
            <w:r>
              <w:rPr>
                <w:szCs w:val="21"/>
              </w:rPr>
              <w:t>，绿化率</w:t>
            </w:r>
            <w:r>
              <w:rPr>
                <w:rFonts w:hint="eastAsia"/>
                <w:szCs w:val="21"/>
              </w:rPr>
              <w:t>16.7</w:t>
            </w:r>
            <w:r>
              <w:rPr>
                <w:szCs w:val="21"/>
              </w:rPr>
              <w:t>%</w:t>
            </w:r>
          </w:p>
        </w:tc>
        <w:tc>
          <w:tcPr>
            <w:tcW w:w="3002" w:type="dxa"/>
            <w:shd w:val="clear" w:color="auto" w:fill="auto"/>
            <w:vAlign w:val="center"/>
          </w:tcPr>
          <w:p>
            <w:pPr>
              <w:spacing w:line="320" w:lineRule="exact"/>
              <w:jc w:val="center"/>
              <w:rPr>
                <w:szCs w:val="21"/>
              </w:rPr>
            </w:pPr>
            <w:r>
              <w:rPr>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0" w:hRule="atLeast"/>
        </w:trPr>
        <w:tc>
          <w:tcPr>
            <w:tcW w:w="595" w:type="dxa"/>
            <w:vMerge w:val="restart"/>
            <w:shd w:val="clear" w:color="auto" w:fill="auto"/>
            <w:vAlign w:val="center"/>
          </w:tcPr>
          <w:p>
            <w:pPr>
              <w:spacing w:line="320" w:lineRule="exact"/>
              <w:jc w:val="center"/>
              <w:rPr>
                <w:szCs w:val="21"/>
              </w:rPr>
            </w:pPr>
            <w:r>
              <w:rPr>
                <w:szCs w:val="21"/>
              </w:rPr>
              <w:t>环保</w:t>
            </w:r>
          </w:p>
          <w:p>
            <w:pPr>
              <w:spacing w:line="320" w:lineRule="exact"/>
              <w:jc w:val="center"/>
              <w:rPr>
                <w:szCs w:val="21"/>
              </w:rPr>
            </w:pPr>
            <w:r>
              <w:rPr>
                <w:szCs w:val="21"/>
              </w:rPr>
              <w:t>工程</w:t>
            </w:r>
          </w:p>
        </w:tc>
        <w:tc>
          <w:tcPr>
            <w:tcW w:w="1160" w:type="dxa"/>
            <w:shd w:val="clear" w:color="auto" w:fill="auto"/>
            <w:vAlign w:val="center"/>
          </w:tcPr>
          <w:p>
            <w:pPr>
              <w:spacing w:line="320" w:lineRule="exact"/>
              <w:jc w:val="center"/>
              <w:rPr>
                <w:szCs w:val="21"/>
              </w:rPr>
            </w:pPr>
            <w:r>
              <w:rPr>
                <w:szCs w:val="21"/>
              </w:rPr>
              <w:t>废水处理</w:t>
            </w:r>
          </w:p>
        </w:tc>
        <w:tc>
          <w:tcPr>
            <w:tcW w:w="3771" w:type="dxa"/>
            <w:shd w:val="clear" w:color="auto" w:fill="auto"/>
            <w:vAlign w:val="center"/>
          </w:tcPr>
          <w:p>
            <w:pPr>
              <w:spacing w:line="320" w:lineRule="exact"/>
              <w:jc w:val="center"/>
              <w:rPr>
                <w:szCs w:val="21"/>
              </w:rPr>
            </w:pPr>
            <w:r>
              <w:rPr>
                <w:szCs w:val="21"/>
              </w:rPr>
              <w:t>化粪池处理，废水排放量为</w:t>
            </w:r>
            <w:r>
              <w:rPr>
                <w:rFonts w:hint="eastAsia"/>
                <w:szCs w:val="21"/>
              </w:rPr>
              <w:t>26816</w:t>
            </w:r>
            <w:r>
              <w:rPr>
                <w:szCs w:val="21"/>
              </w:rPr>
              <w:t>t/a</w:t>
            </w:r>
          </w:p>
        </w:tc>
        <w:tc>
          <w:tcPr>
            <w:tcW w:w="3002" w:type="dxa"/>
            <w:shd w:val="clear" w:color="auto" w:fill="auto"/>
            <w:vAlign w:val="center"/>
          </w:tcPr>
          <w:p>
            <w:pPr>
              <w:spacing w:line="320" w:lineRule="exact"/>
              <w:jc w:val="center"/>
              <w:rPr>
                <w:szCs w:val="21"/>
              </w:rPr>
            </w:pPr>
            <w:r>
              <w:rPr>
                <w:szCs w:val="21"/>
              </w:rPr>
              <w:t>经化粪池处理达标后排入南京城南污水处理厂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7" w:hRule="atLeast"/>
        </w:trPr>
        <w:tc>
          <w:tcPr>
            <w:tcW w:w="595" w:type="dxa"/>
            <w:vMerge w:val="continue"/>
            <w:shd w:val="clear" w:color="auto" w:fill="auto"/>
            <w:vAlign w:val="center"/>
          </w:tcPr>
          <w:p>
            <w:pPr>
              <w:spacing w:line="320" w:lineRule="exact"/>
              <w:jc w:val="center"/>
              <w:rPr>
                <w:szCs w:val="21"/>
              </w:rPr>
            </w:pPr>
          </w:p>
        </w:tc>
        <w:tc>
          <w:tcPr>
            <w:tcW w:w="1160" w:type="dxa"/>
            <w:vMerge w:val="restart"/>
            <w:shd w:val="clear" w:color="auto" w:fill="auto"/>
            <w:vAlign w:val="center"/>
          </w:tcPr>
          <w:p>
            <w:pPr>
              <w:spacing w:line="320" w:lineRule="exact"/>
              <w:jc w:val="center"/>
              <w:rPr>
                <w:szCs w:val="21"/>
              </w:rPr>
            </w:pPr>
            <w:r>
              <w:rPr>
                <w:szCs w:val="21"/>
              </w:rPr>
              <w:t>固废处理</w:t>
            </w:r>
          </w:p>
        </w:tc>
        <w:tc>
          <w:tcPr>
            <w:tcW w:w="3771" w:type="dxa"/>
            <w:shd w:val="clear" w:color="auto" w:fill="auto"/>
            <w:vAlign w:val="center"/>
          </w:tcPr>
          <w:p>
            <w:pPr>
              <w:spacing w:line="320" w:lineRule="exact"/>
              <w:jc w:val="center"/>
              <w:rPr>
                <w:szCs w:val="21"/>
              </w:rPr>
            </w:pPr>
            <w:r>
              <w:rPr>
                <w:szCs w:val="21"/>
              </w:rPr>
              <w:t>生活垃圾</w:t>
            </w:r>
            <w:r>
              <w:rPr>
                <w:rFonts w:hint="eastAsia"/>
                <w:szCs w:val="21"/>
              </w:rPr>
              <w:t>125.7</w:t>
            </w:r>
            <w:r>
              <w:rPr>
                <w:szCs w:val="21"/>
              </w:rPr>
              <w:t>t/a</w:t>
            </w:r>
          </w:p>
        </w:tc>
        <w:tc>
          <w:tcPr>
            <w:tcW w:w="3002" w:type="dxa"/>
            <w:shd w:val="clear" w:color="auto" w:fill="auto"/>
            <w:vAlign w:val="center"/>
          </w:tcPr>
          <w:p>
            <w:pPr>
              <w:spacing w:line="320" w:lineRule="exact"/>
              <w:jc w:val="center"/>
              <w:rPr>
                <w:szCs w:val="21"/>
              </w:rPr>
            </w:pPr>
            <w:r>
              <w:rPr>
                <w:szCs w:val="21"/>
              </w:rPr>
              <w:t>环卫部门处理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7" w:hRule="atLeast"/>
        </w:trPr>
        <w:tc>
          <w:tcPr>
            <w:tcW w:w="595" w:type="dxa"/>
            <w:vMerge w:val="continue"/>
            <w:shd w:val="clear" w:color="auto" w:fill="auto"/>
            <w:vAlign w:val="center"/>
          </w:tcPr>
          <w:p>
            <w:pPr>
              <w:spacing w:line="320" w:lineRule="exact"/>
              <w:jc w:val="center"/>
              <w:rPr>
                <w:szCs w:val="21"/>
              </w:rPr>
            </w:pPr>
          </w:p>
        </w:tc>
        <w:tc>
          <w:tcPr>
            <w:tcW w:w="1160" w:type="dxa"/>
            <w:vMerge w:val="continue"/>
            <w:shd w:val="clear" w:color="auto" w:fill="auto"/>
            <w:vAlign w:val="center"/>
          </w:tcPr>
          <w:p>
            <w:pPr>
              <w:spacing w:line="320" w:lineRule="exact"/>
              <w:jc w:val="center"/>
              <w:rPr>
                <w:szCs w:val="21"/>
              </w:rPr>
            </w:pPr>
          </w:p>
        </w:tc>
        <w:tc>
          <w:tcPr>
            <w:tcW w:w="3771" w:type="dxa"/>
            <w:shd w:val="clear" w:color="auto" w:fill="auto"/>
            <w:vAlign w:val="center"/>
          </w:tcPr>
          <w:p>
            <w:pPr>
              <w:spacing w:line="320" w:lineRule="exact"/>
              <w:jc w:val="center"/>
              <w:rPr>
                <w:szCs w:val="21"/>
              </w:rPr>
            </w:pPr>
            <w:r>
              <w:rPr>
                <w:rFonts w:hint="eastAsia"/>
                <w:szCs w:val="21"/>
              </w:rPr>
              <w:t>办公垃圾0.15t/a</w:t>
            </w:r>
          </w:p>
        </w:tc>
        <w:tc>
          <w:tcPr>
            <w:tcW w:w="3002" w:type="dxa"/>
            <w:shd w:val="clear" w:color="auto" w:fill="auto"/>
            <w:vAlign w:val="center"/>
          </w:tcPr>
          <w:p>
            <w:pPr>
              <w:spacing w:line="320" w:lineRule="exact"/>
              <w:jc w:val="center"/>
              <w:rPr>
                <w:szCs w:val="21"/>
              </w:rPr>
            </w:pPr>
            <w:r>
              <w:rPr>
                <w:szCs w:val="21"/>
              </w:rPr>
              <w:t>收集后外售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7" w:hRule="atLeast"/>
        </w:trPr>
        <w:tc>
          <w:tcPr>
            <w:tcW w:w="595" w:type="dxa"/>
            <w:vMerge w:val="continue"/>
            <w:shd w:val="clear" w:color="auto" w:fill="auto"/>
            <w:vAlign w:val="center"/>
          </w:tcPr>
          <w:p>
            <w:pPr>
              <w:spacing w:line="320" w:lineRule="exact"/>
              <w:jc w:val="center"/>
              <w:rPr>
                <w:szCs w:val="21"/>
              </w:rPr>
            </w:pPr>
          </w:p>
        </w:tc>
        <w:tc>
          <w:tcPr>
            <w:tcW w:w="1160" w:type="dxa"/>
            <w:vMerge w:val="continue"/>
            <w:shd w:val="clear" w:color="auto" w:fill="auto"/>
            <w:vAlign w:val="center"/>
          </w:tcPr>
          <w:p>
            <w:pPr>
              <w:spacing w:line="320" w:lineRule="exact"/>
              <w:jc w:val="center"/>
              <w:rPr>
                <w:szCs w:val="21"/>
              </w:rPr>
            </w:pPr>
          </w:p>
        </w:tc>
        <w:tc>
          <w:tcPr>
            <w:tcW w:w="3771" w:type="dxa"/>
            <w:shd w:val="clear" w:color="auto" w:fill="auto"/>
            <w:vAlign w:val="center"/>
          </w:tcPr>
          <w:p>
            <w:pPr>
              <w:spacing w:line="320" w:lineRule="exact"/>
              <w:jc w:val="center"/>
              <w:rPr>
                <w:szCs w:val="21"/>
              </w:rPr>
            </w:pPr>
            <w:r>
              <w:rPr>
                <w:szCs w:val="21"/>
              </w:rPr>
              <w:t>包装废弃物</w:t>
            </w:r>
            <w:r>
              <w:rPr>
                <w:rFonts w:hint="eastAsia"/>
                <w:szCs w:val="21"/>
              </w:rPr>
              <w:t>5.8t/a</w:t>
            </w:r>
          </w:p>
        </w:tc>
        <w:tc>
          <w:tcPr>
            <w:tcW w:w="3002" w:type="dxa"/>
            <w:shd w:val="clear" w:color="auto" w:fill="auto"/>
            <w:vAlign w:val="center"/>
          </w:tcPr>
          <w:p>
            <w:pPr>
              <w:spacing w:line="320" w:lineRule="exact"/>
              <w:jc w:val="center"/>
              <w:rPr>
                <w:szCs w:val="21"/>
              </w:rPr>
            </w:pPr>
            <w:r>
              <w:rPr>
                <w:szCs w:val="21"/>
              </w:rPr>
              <w:t>收集后外售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95" w:type="dxa"/>
            <w:vMerge w:val="continue"/>
            <w:shd w:val="clear" w:color="auto" w:fill="auto"/>
            <w:vAlign w:val="center"/>
          </w:tcPr>
          <w:p>
            <w:pPr>
              <w:spacing w:line="320" w:lineRule="exact"/>
              <w:jc w:val="center"/>
              <w:rPr>
                <w:szCs w:val="21"/>
              </w:rPr>
            </w:pPr>
          </w:p>
        </w:tc>
        <w:tc>
          <w:tcPr>
            <w:tcW w:w="1160" w:type="dxa"/>
            <w:vMerge w:val="continue"/>
            <w:shd w:val="clear" w:color="auto" w:fill="auto"/>
            <w:vAlign w:val="center"/>
          </w:tcPr>
          <w:p>
            <w:pPr>
              <w:spacing w:line="320" w:lineRule="exact"/>
              <w:jc w:val="center"/>
              <w:rPr>
                <w:szCs w:val="21"/>
              </w:rPr>
            </w:pPr>
          </w:p>
        </w:tc>
        <w:tc>
          <w:tcPr>
            <w:tcW w:w="3771" w:type="dxa"/>
            <w:shd w:val="clear" w:color="auto" w:fill="auto"/>
            <w:vAlign w:val="center"/>
          </w:tcPr>
          <w:p>
            <w:pPr>
              <w:spacing w:line="320" w:lineRule="exact"/>
              <w:jc w:val="center"/>
              <w:rPr>
                <w:szCs w:val="21"/>
              </w:rPr>
            </w:pPr>
            <w:r>
              <w:rPr>
                <w:rFonts w:hint="eastAsia"/>
                <w:szCs w:val="21"/>
              </w:rPr>
              <w:t>废机油0.8 t/a</w:t>
            </w:r>
          </w:p>
        </w:tc>
        <w:tc>
          <w:tcPr>
            <w:tcW w:w="3002" w:type="dxa"/>
            <w:shd w:val="clear" w:color="auto" w:fill="auto"/>
            <w:vAlign w:val="center"/>
          </w:tcPr>
          <w:p>
            <w:pPr>
              <w:spacing w:line="320" w:lineRule="exact"/>
              <w:jc w:val="center"/>
              <w:rPr>
                <w:szCs w:val="21"/>
              </w:rPr>
            </w:pPr>
            <w:r>
              <w:rPr>
                <w:rFonts w:hint="eastAsia"/>
                <w:szCs w:val="21"/>
              </w:rPr>
              <w:t>收集后委托有资质单位处理</w:t>
            </w:r>
          </w:p>
        </w:tc>
      </w:tr>
    </w:tbl>
    <w:p>
      <w:pPr>
        <w:adjustRightInd w:val="0"/>
        <w:snapToGrid w:val="0"/>
        <w:jc w:val="center"/>
        <w:rPr>
          <w:rFonts w:hint="eastAsia"/>
          <w:b/>
          <w:sz w:val="24"/>
        </w:rPr>
      </w:pPr>
    </w:p>
    <w:p>
      <w:pPr>
        <w:pStyle w:val="4"/>
        <w:adjustRightInd w:val="0"/>
        <w:snapToGrid w:val="0"/>
        <w:spacing w:before="0" w:after="0" w:line="360" w:lineRule="auto"/>
        <w:rPr>
          <w:bCs w:val="0"/>
          <w:sz w:val="24"/>
          <w:szCs w:val="24"/>
        </w:rPr>
      </w:pPr>
      <w:bookmarkStart w:id="86" w:name="_Toc435690397"/>
      <w:r>
        <w:rPr>
          <w:rFonts w:hint="eastAsia"/>
          <w:bCs w:val="0"/>
          <w:sz w:val="24"/>
          <w:szCs w:val="24"/>
        </w:rPr>
        <w:t>2.2.1</w:t>
      </w:r>
      <w:r>
        <w:rPr>
          <w:bCs w:val="0"/>
          <w:sz w:val="24"/>
          <w:szCs w:val="24"/>
        </w:rPr>
        <w:t>给排水</w:t>
      </w:r>
      <w:bookmarkEnd w:id="86"/>
    </w:p>
    <w:p>
      <w:pPr>
        <w:adjustRightInd w:val="0"/>
        <w:snapToGrid w:val="0"/>
        <w:spacing w:line="360" w:lineRule="auto"/>
        <w:ind w:firstLine="480" w:firstLineChars="200"/>
        <w:rPr>
          <w:sz w:val="24"/>
        </w:rPr>
      </w:pPr>
      <w:r>
        <w:rPr>
          <w:sz w:val="24"/>
        </w:rPr>
        <w:t>（1）给水本项目给水水源由市政自来水供水，市政水压约0.30Mpa。给水总管在地块内形成环网，供地块内所有建筑物生活及消防用水。</w:t>
      </w:r>
    </w:p>
    <w:p>
      <w:pPr>
        <w:adjustRightInd w:val="0"/>
        <w:snapToGrid w:val="0"/>
        <w:spacing w:line="360" w:lineRule="auto"/>
        <w:ind w:firstLine="480" w:firstLineChars="200"/>
        <w:rPr>
          <w:sz w:val="24"/>
        </w:rPr>
      </w:pPr>
      <w:r>
        <w:rPr>
          <w:sz w:val="24"/>
        </w:rPr>
        <w:t>（2）</w:t>
      </w:r>
      <w:r>
        <w:rPr>
          <w:rFonts w:hint="eastAsia"/>
          <w:sz w:val="24"/>
        </w:rPr>
        <w:t>排水</w:t>
      </w:r>
    </w:p>
    <w:p>
      <w:pPr>
        <w:adjustRightInd w:val="0"/>
        <w:snapToGrid w:val="0"/>
        <w:spacing w:line="360" w:lineRule="auto"/>
        <w:ind w:firstLine="480" w:firstLineChars="200"/>
        <w:rPr>
          <w:sz w:val="24"/>
        </w:rPr>
      </w:pPr>
      <w:r>
        <w:rPr>
          <w:sz w:val="24"/>
        </w:rPr>
        <w:t>本项目排水均采用雨污分流制，干道、支路两侧设置相应雨水、生活污水管网。小区内污水通过污水管网收集后经化粪池处理达到接管标准</w:t>
      </w:r>
      <w:r>
        <w:rPr>
          <w:rFonts w:hint="eastAsia"/>
          <w:sz w:val="24"/>
        </w:rPr>
        <w:t>，</w:t>
      </w:r>
      <w:r>
        <w:rPr>
          <w:sz w:val="24"/>
        </w:rPr>
        <w:t>通过市政污水管网接管</w:t>
      </w:r>
      <w:r>
        <w:rPr>
          <w:rFonts w:hint="eastAsia"/>
          <w:sz w:val="24"/>
        </w:rPr>
        <w:t>城南</w:t>
      </w:r>
      <w:r>
        <w:rPr>
          <w:sz w:val="24"/>
        </w:rPr>
        <w:t>污水处理厂处理后达标排放。</w:t>
      </w:r>
    </w:p>
    <w:p>
      <w:pPr>
        <w:adjustRightInd w:val="0"/>
        <w:snapToGrid w:val="0"/>
        <w:spacing w:line="360" w:lineRule="auto"/>
        <w:ind w:firstLine="480" w:firstLineChars="200"/>
        <w:rPr>
          <w:sz w:val="24"/>
        </w:rPr>
      </w:pPr>
      <w:r>
        <w:rPr>
          <w:sz w:val="24"/>
        </w:rPr>
        <w:t>雨水直接经雨水口排入市政雨水管道。</w:t>
      </w:r>
    </w:p>
    <w:p>
      <w:pPr>
        <w:pStyle w:val="4"/>
        <w:adjustRightInd w:val="0"/>
        <w:snapToGrid w:val="0"/>
        <w:spacing w:before="0" w:after="0" w:line="360" w:lineRule="auto"/>
        <w:rPr>
          <w:bCs w:val="0"/>
          <w:sz w:val="24"/>
          <w:szCs w:val="24"/>
        </w:rPr>
      </w:pPr>
      <w:bookmarkStart w:id="87" w:name="_Toc435690398"/>
      <w:r>
        <w:rPr>
          <w:rFonts w:hint="eastAsia"/>
          <w:bCs w:val="0"/>
          <w:sz w:val="24"/>
          <w:szCs w:val="24"/>
        </w:rPr>
        <w:t>2.2.2</w:t>
      </w:r>
      <w:r>
        <w:rPr>
          <w:bCs w:val="0"/>
          <w:sz w:val="24"/>
          <w:szCs w:val="24"/>
        </w:rPr>
        <w:t>消防系统</w:t>
      </w:r>
      <w:bookmarkEnd w:id="87"/>
    </w:p>
    <w:p>
      <w:pPr>
        <w:adjustRightInd w:val="0"/>
        <w:snapToGrid w:val="0"/>
        <w:spacing w:line="360" w:lineRule="auto"/>
        <w:ind w:firstLine="480" w:firstLineChars="200"/>
        <w:rPr>
          <w:sz w:val="24"/>
        </w:rPr>
      </w:pPr>
      <w:r>
        <w:rPr>
          <w:sz w:val="24"/>
        </w:rPr>
        <w:t>（1）消防用水量</w:t>
      </w:r>
    </w:p>
    <w:p>
      <w:pPr>
        <w:adjustRightInd w:val="0"/>
        <w:snapToGrid w:val="0"/>
        <w:spacing w:line="360" w:lineRule="auto"/>
        <w:ind w:firstLine="480" w:firstLineChars="200"/>
        <w:rPr>
          <w:rFonts w:hint="eastAsia"/>
          <w:sz w:val="24"/>
        </w:rPr>
      </w:pPr>
      <w:r>
        <w:rPr>
          <w:sz w:val="24"/>
        </w:rPr>
        <w:t>按照《建筑设计防火规范》（GB50016-2006）要求确定室外消防用水量为25L/s，室内消防用水量为15L/s</w:t>
      </w:r>
      <w:r>
        <w:rPr>
          <w:rFonts w:hint="eastAsia"/>
          <w:sz w:val="24"/>
        </w:rPr>
        <w:t>，</w:t>
      </w:r>
      <w:r>
        <w:rPr>
          <w:sz w:val="24"/>
        </w:rPr>
        <w:t>火灾延续时间为</w:t>
      </w:r>
      <w:r>
        <w:rPr>
          <w:rFonts w:hint="eastAsia"/>
          <w:sz w:val="24"/>
        </w:rPr>
        <w:t>3</w:t>
      </w:r>
      <w:r>
        <w:rPr>
          <w:sz w:val="24"/>
        </w:rPr>
        <w:t>小时；一次火灾用水量为</w:t>
      </w:r>
      <w:r>
        <w:rPr>
          <w:rFonts w:hint="eastAsia"/>
          <w:sz w:val="24"/>
        </w:rPr>
        <w:t>432</w:t>
      </w:r>
      <w:r>
        <w:rPr>
          <w:sz w:val="24"/>
        </w:rPr>
        <w:t>m</w:t>
      </w:r>
      <w:r>
        <w:rPr>
          <w:sz w:val="24"/>
          <w:vertAlign w:val="superscript"/>
        </w:rPr>
        <w:t>3</w:t>
      </w:r>
      <w:r>
        <w:rPr>
          <w:rFonts w:hint="eastAsia"/>
          <w:sz w:val="24"/>
        </w:rPr>
        <w:t>。</w:t>
      </w:r>
      <w:r>
        <w:rPr>
          <w:sz w:val="24"/>
        </w:rPr>
        <w:t>在总平面内所有建筑物内均按规范设置足够数量的室内消火栓，室内外消防给水直接由室外给水管网压力供给。在物流中心建筑红线内，沿交通道路及主要建筑物附近设置地上式室外消火栓，且相邻消火栓之间的距离不超过120m。</w:t>
      </w:r>
    </w:p>
    <w:p>
      <w:pPr>
        <w:adjustRightInd w:val="0"/>
        <w:snapToGrid w:val="0"/>
        <w:spacing w:line="360" w:lineRule="auto"/>
        <w:ind w:firstLine="480" w:firstLineChars="200"/>
        <w:rPr>
          <w:sz w:val="24"/>
        </w:rPr>
      </w:pPr>
      <w:r>
        <w:rPr>
          <w:sz w:val="24"/>
        </w:rPr>
        <w:t>（2）水源</w:t>
      </w:r>
    </w:p>
    <w:p>
      <w:pPr>
        <w:adjustRightInd w:val="0"/>
        <w:snapToGrid w:val="0"/>
        <w:spacing w:line="360" w:lineRule="auto"/>
        <w:ind w:firstLine="480" w:firstLineChars="200"/>
        <w:rPr>
          <w:sz w:val="24"/>
        </w:rPr>
      </w:pPr>
      <w:r>
        <w:rPr>
          <w:sz w:val="24"/>
        </w:rPr>
        <w:t>消防水源采用城市自来水，从市政管网引给水管至地下消防水池，消防水池储存室内消火栓用水与自动喷洒用水，在地下室设消防泵。</w:t>
      </w:r>
    </w:p>
    <w:p>
      <w:pPr>
        <w:adjustRightInd w:val="0"/>
        <w:snapToGrid w:val="0"/>
        <w:spacing w:line="360" w:lineRule="auto"/>
        <w:ind w:firstLine="480" w:firstLineChars="200"/>
        <w:rPr>
          <w:sz w:val="24"/>
        </w:rPr>
      </w:pPr>
      <w:r>
        <w:rPr>
          <w:sz w:val="24"/>
        </w:rPr>
        <w:t>（3）室外消火栓系统</w:t>
      </w:r>
    </w:p>
    <w:p>
      <w:pPr>
        <w:adjustRightInd w:val="0"/>
        <w:snapToGrid w:val="0"/>
        <w:spacing w:line="360" w:lineRule="auto"/>
        <w:ind w:firstLine="480" w:firstLineChars="200"/>
        <w:rPr>
          <w:sz w:val="24"/>
        </w:rPr>
      </w:pPr>
      <w:r>
        <w:rPr>
          <w:sz w:val="24"/>
        </w:rPr>
        <w:t>室外消火栓接在室外消火栓加压环管上，在消防水泵房内设置室外消火栓泵两台（一用一备）（XBD20-40-HY，Q=20L/s ，H=40m N=15kw），用于满足各单体室外消防用水量要求。</w:t>
      </w:r>
    </w:p>
    <w:p>
      <w:pPr>
        <w:adjustRightInd w:val="0"/>
        <w:snapToGrid w:val="0"/>
        <w:spacing w:line="360" w:lineRule="auto"/>
        <w:ind w:firstLine="480" w:firstLineChars="200"/>
        <w:rPr>
          <w:sz w:val="24"/>
        </w:rPr>
      </w:pPr>
      <w:r>
        <w:rPr>
          <w:sz w:val="24"/>
        </w:rPr>
        <w:t>（4）室内消火栓系统</w:t>
      </w:r>
    </w:p>
    <w:p>
      <w:pPr>
        <w:adjustRightInd w:val="0"/>
        <w:snapToGrid w:val="0"/>
        <w:spacing w:line="360" w:lineRule="auto"/>
        <w:ind w:firstLine="480" w:firstLineChars="200"/>
        <w:rPr>
          <w:sz w:val="24"/>
        </w:rPr>
      </w:pPr>
      <w:r>
        <w:rPr>
          <w:sz w:val="24"/>
        </w:rPr>
        <w:t>在各建筑物内，应按《建筑灭火器配置设计规范》（GBJ140-90）的要求，配置规定数量的手提式磷酸铵盐干粉灭火器，供初起火灾灭火应急之用。设室内消火栓系统，消火栓箱内配置DN65栓口一只，DN65衬胶水带一条，DN19水枪一只，消防按钮一只，消防软管卷盘一只，其间距保证室内同层任何部位同时有两股消火栓水柱同时到达，室内消火栓系统在地下水泵房设消火栓泵二台（一用一备），室外设消火栓水泵接合器。</w:t>
      </w:r>
    </w:p>
    <w:p>
      <w:pPr>
        <w:adjustRightInd w:val="0"/>
        <w:snapToGrid w:val="0"/>
        <w:spacing w:line="360" w:lineRule="auto"/>
        <w:ind w:firstLine="480" w:firstLineChars="200"/>
        <w:rPr>
          <w:sz w:val="24"/>
        </w:rPr>
      </w:pPr>
      <w:r>
        <w:rPr>
          <w:sz w:val="24"/>
        </w:rPr>
        <w:t>（5）闭式自动喷水灭火系统</w:t>
      </w:r>
    </w:p>
    <w:p>
      <w:pPr>
        <w:adjustRightInd w:val="0"/>
        <w:snapToGrid w:val="0"/>
        <w:spacing w:line="360" w:lineRule="auto"/>
        <w:ind w:firstLine="480" w:firstLineChars="200"/>
        <w:rPr>
          <w:rFonts w:hint="eastAsia"/>
          <w:sz w:val="24"/>
        </w:rPr>
      </w:pPr>
      <w:r>
        <w:rPr>
          <w:sz w:val="24"/>
        </w:rPr>
        <w:t>根据规范要求在</w:t>
      </w:r>
      <w:r>
        <w:rPr>
          <w:rFonts w:hint="eastAsia"/>
          <w:sz w:val="24"/>
        </w:rPr>
        <w:t>仓储仓</w:t>
      </w:r>
      <w:r>
        <w:rPr>
          <w:sz w:val="24"/>
        </w:rPr>
        <w:t>库</w:t>
      </w:r>
      <w:r>
        <w:rPr>
          <w:rFonts w:hint="eastAsia"/>
          <w:sz w:val="24"/>
        </w:rPr>
        <w:t>等各建筑物内容</w:t>
      </w:r>
      <w:r>
        <w:rPr>
          <w:sz w:val="24"/>
        </w:rPr>
        <w:t>设置自动喷洒灭火系统，喷淋系统按照防火分区设置水流指示器，喷洒系统阀门采用信号阀，每个报警阀组控制的喷头数不大于800只。自动喷洒系统在地下水泵房设喷淋泵二台（一用一备）。喷洒系统在室外设水泵接合器。所有防火卷帘均采用特级防火卷帘，不设喷淋保护。</w:t>
      </w:r>
    </w:p>
    <w:p>
      <w:pPr>
        <w:pStyle w:val="4"/>
        <w:adjustRightInd w:val="0"/>
        <w:snapToGrid w:val="0"/>
        <w:spacing w:before="0" w:after="0" w:line="360" w:lineRule="auto"/>
        <w:rPr>
          <w:bCs w:val="0"/>
          <w:sz w:val="24"/>
          <w:szCs w:val="24"/>
        </w:rPr>
      </w:pPr>
      <w:bookmarkStart w:id="88" w:name="_Toc435690399"/>
      <w:r>
        <w:rPr>
          <w:rFonts w:hint="eastAsia"/>
          <w:bCs w:val="0"/>
          <w:sz w:val="24"/>
          <w:szCs w:val="24"/>
        </w:rPr>
        <w:t>2.2.3</w:t>
      </w:r>
      <w:r>
        <w:rPr>
          <w:bCs w:val="0"/>
          <w:sz w:val="24"/>
          <w:szCs w:val="24"/>
        </w:rPr>
        <w:t>供电</w:t>
      </w:r>
      <w:bookmarkEnd w:id="88"/>
    </w:p>
    <w:p>
      <w:pPr>
        <w:adjustRightInd w:val="0"/>
        <w:snapToGrid w:val="0"/>
        <w:spacing w:line="360" w:lineRule="auto"/>
        <w:ind w:firstLine="480" w:firstLineChars="200"/>
        <w:rPr>
          <w:rFonts w:hint="eastAsia"/>
          <w:sz w:val="24"/>
        </w:rPr>
      </w:pPr>
      <w:r>
        <w:rPr>
          <w:sz w:val="24"/>
        </w:rPr>
        <w:t>本项目用电由区域供电所提供，本工程为三级负荷，电力及照明设备供电电压均为220~380V。每栋</w:t>
      </w:r>
      <w:r>
        <w:rPr>
          <w:rFonts w:hint="eastAsia"/>
          <w:sz w:val="24"/>
        </w:rPr>
        <w:t>建筑物均</w:t>
      </w:r>
      <w:r>
        <w:rPr>
          <w:sz w:val="24"/>
        </w:rPr>
        <w:t>设置计量电度表，并按规定设置应急照明。</w:t>
      </w:r>
    </w:p>
    <w:p>
      <w:pPr>
        <w:adjustRightInd w:val="0"/>
        <w:snapToGrid w:val="0"/>
        <w:spacing w:line="360" w:lineRule="auto"/>
        <w:ind w:firstLine="480" w:firstLineChars="200"/>
        <w:rPr>
          <w:sz w:val="24"/>
        </w:rPr>
      </w:pPr>
      <w:r>
        <w:rPr>
          <w:sz w:val="24"/>
        </w:rPr>
        <w:t>本项目年总用电量为561.98万kW.h</w:t>
      </w:r>
      <w:r>
        <w:rPr>
          <w:rFonts w:hint="eastAsia"/>
          <w:sz w:val="24"/>
        </w:rPr>
        <w:t>。</w:t>
      </w:r>
    </w:p>
    <w:p>
      <w:pPr>
        <w:pStyle w:val="4"/>
        <w:adjustRightInd w:val="0"/>
        <w:snapToGrid w:val="0"/>
        <w:spacing w:before="0" w:after="0" w:line="360" w:lineRule="auto"/>
        <w:rPr>
          <w:bCs w:val="0"/>
          <w:sz w:val="24"/>
          <w:szCs w:val="24"/>
        </w:rPr>
      </w:pPr>
      <w:bookmarkStart w:id="89" w:name="_Toc435690400"/>
      <w:r>
        <w:rPr>
          <w:rFonts w:hint="eastAsia"/>
          <w:bCs w:val="0"/>
          <w:sz w:val="24"/>
          <w:szCs w:val="24"/>
        </w:rPr>
        <w:t>2.2.4</w:t>
      </w:r>
      <w:r>
        <w:rPr>
          <w:bCs w:val="0"/>
          <w:sz w:val="24"/>
          <w:szCs w:val="24"/>
        </w:rPr>
        <w:t>贮运工程</w:t>
      </w:r>
      <w:bookmarkEnd w:id="89"/>
    </w:p>
    <w:p>
      <w:pPr>
        <w:adjustRightInd w:val="0"/>
        <w:snapToGrid w:val="0"/>
        <w:spacing w:line="360" w:lineRule="auto"/>
        <w:ind w:firstLine="480" w:firstLineChars="200"/>
        <w:rPr>
          <w:rFonts w:hint="eastAsia"/>
          <w:sz w:val="24"/>
        </w:rPr>
      </w:pPr>
      <w:r>
        <w:rPr>
          <w:sz w:val="24"/>
        </w:rPr>
        <w:t>贮运工程包括仓储</w:t>
      </w:r>
      <w:r>
        <w:rPr>
          <w:rFonts w:hint="eastAsia"/>
          <w:sz w:val="24"/>
        </w:rPr>
        <w:t>仓库4座</w:t>
      </w:r>
      <w:r>
        <w:rPr>
          <w:sz w:val="24"/>
        </w:rPr>
        <w:t>及</w:t>
      </w:r>
      <w:r>
        <w:rPr>
          <w:rFonts w:hint="eastAsia"/>
          <w:sz w:val="24"/>
        </w:rPr>
        <w:t>分拣中心一座。物流配送力量由项目单位、其他物流配送公司、社会车辆等组成。本项目内不设加油站，</w:t>
      </w:r>
      <w:r>
        <w:rPr>
          <w:rFonts w:hint="eastAsia"/>
          <w:kern w:val="0"/>
          <w:sz w:val="24"/>
        </w:rPr>
        <w:t>车辆维修、养护、冲洗均委托社会专业汽修、清洁公司，不在项目场地内进行车辆维修、养护及冲洗</w:t>
      </w:r>
      <w:r>
        <w:rPr>
          <w:rFonts w:hint="eastAsia"/>
          <w:sz w:val="24"/>
        </w:rPr>
        <w:t>。</w:t>
      </w:r>
    </w:p>
    <w:p>
      <w:pPr>
        <w:adjustRightInd w:val="0"/>
        <w:snapToGrid w:val="0"/>
        <w:spacing w:line="360" w:lineRule="auto"/>
        <w:ind w:firstLine="480" w:firstLineChars="200"/>
        <w:rPr>
          <w:rFonts w:hint="eastAsia"/>
          <w:sz w:val="24"/>
        </w:rPr>
      </w:pPr>
      <w:r>
        <w:rPr>
          <w:sz w:val="24"/>
        </w:rPr>
        <w:t>收货车辆：采购入库190辆/天；中转、调拨、退货入库64辆/天；快递入库160辆/天；发货车辆：本市配送235辆/天；外市配送170辆/天。</w:t>
      </w:r>
    </w:p>
    <w:p>
      <w:pPr>
        <w:pStyle w:val="3"/>
        <w:spacing w:before="0" w:after="0" w:line="360" w:lineRule="auto"/>
        <w:rPr>
          <w:rFonts w:ascii="Times New Roman" w:hAnsi="Times New Roman" w:eastAsia="宋体"/>
          <w:b/>
          <w:sz w:val="28"/>
          <w:szCs w:val="28"/>
        </w:rPr>
      </w:pPr>
      <w:bookmarkStart w:id="90" w:name="_Toc319912622"/>
      <w:bookmarkStart w:id="91" w:name="_Toc433723068"/>
      <w:bookmarkStart w:id="92" w:name="_Toc435690401"/>
      <w:r>
        <w:rPr>
          <w:rFonts w:hint="eastAsia" w:ascii="Times New Roman" w:hAnsi="Times New Roman" w:eastAsia="宋体"/>
          <w:b/>
          <w:sz w:val="28"/>
          <w:szCs w:val="28"/>
        </w:rPr>
        <w:t>2.3</w:t>
      </w:r>
      <w:r>
        <w:rPr>
          <w:rFonts w:ascii="Times New Roman" w:hAnsi="Times New Roman" w:eastAsia="宋体"/>
          <w:b/>
          <w:sz w:val="28"/>
          <w:szCs w:val="28"/>
        </w:rPr>
        <w:t>水平衡</w:t>
      </w:r>
      <w:bookmarkEnd w:id="90"/>
      <w:bookmarkEnd w:id="91"/>
      <w:bookmarkEnd w:id="92"/>
    </w:p>
    <w:p>
      <w:pPr>
        <w:adjustRightInd w:val="0"/>
        <w:snapToGrid w:val="0"/>
        <w:spacing w:line="360" w:lineRule="auto"/>
        <w:ind w:firstLine="480" w:firstLineChars="200"/>
        <w:jc w:val="left"/>
        <w:rPr>
          <w:sz w:val="24"/>
        </w:rPr>
      </w:pPr>
      <w:r>
        <w:rPr>
          <w:bCs/>
          <w:sz w:val="24"/>
          <w:szCs w:val="21"/>
        </w:rPr>
        <w:t>本项目使用新鲜水量为</w:t>
      </w:r>
      <w:r>
        <w:rPr>
          <w:rFonts w:hint="eastAsia"/>
          <w:bCs/>
          <w:sz w:val="24"/>
          <w:szCs w:val="21"/>
        </w:rPr>
        <w:t>60935</w:t>
      </w:r>
      <w:r>
        <w:rPr>
          <w:bCs/>
          <w:sz w:val="24"/>
          <w:szCs w:val="21"/>
        </w:rPr>
        <w:t>t/a，</w:t>
      </w:r>
      <w:r>
        <w:rPr>
          <w:rFonts w:hint="eastAsia"/>
          <w:bCs/>
          <w:sz w:val="24"/>
          <w:szCs w:val="21"/>
        </w:rPr>
        <w:t>建设项目不设食堂，废水</w:t>
      </w:r>
      <w:r>
        <w:rPr>
          <w:bCs/>
          <w:sz w:val="24"/>
          <w:szCs w:val="21"/>
        </w:rPr>
        <w:t>主要为</w:t>
      </w:r>
      <w:r>
        <w:rPr>
          <w:rFonts w:hint="eastAsia"/>
          <w:bCs/>
          <w:sz w:val="24"/>
          <w:szCs w:val="21"/>
        </w:rPr>
        <w:t>员工</w:t>
      </w:r>
      <w:r>
        <w:rPr>
          <w:bCs/>
          <w:sz w:val="24"/>
          <w:szCs w:val="21"/>
        </w:rPr>
        <w:t>生活用水。</w:t>
      </w:r>
      <w:r>
        <w:rPr>
          <w:rFonts w:hint="eastAsia" w:hAnsi="宋体"/>
          <w:sz w:val="24"/>
        </w:rPr>
        <w:t>本项目设备和地面无需冲洗，因此，设备和地面冲洗水不予考虑。</w:t>
      </w:r>
    </w:p>
    <w:p>
      <w:pPr>
        <w:adjustRightInd w:val="0"/>
        <w:snapToGrid w:val="0"/>
        <w:spacing w:line="360" w:lineRule="auto"/>
        <w:ind w:firstLine="480" w:firstLineChars="200"/>
        <w:jc w:val="left"/>
        <w:rPr>
          <w:rFonts w:hint="eastAsia"/>
          <w:sz w:val="24"/>
        </w:rPr>
      </w:pPr>
      <w:r>
        <w:rPr>
          <w:rFonts w:hint="eastAsia" w:ascii="宋体" w:hAnsi="宋体" w:cs="宋体"/>
          <w:bCs/>
          <w:sz w:val="24"/>
          <w:szCs w:val="21"/>
        </w:rPr>
        <w:t>①</w:t>
      </w:r>
      <w:r>
        <w:rPr>
          <w:bCs/>
          <w:sz w:val="24"/>
          <w:szCs w:val="21"/>
        </w:rPr>
        <w:t>根据</w:t>
      </w:r>
      <w:r>
        <w:rPr>
          <w:sz w:val="24"/>
        </w:rPr>
        <w:t>《建筑给水排水设计规范》，</w:t>
      </w:r>
      <w:r>
        <w:rPr>
          <w:bCs/>
          <w:sz w:val="24"/>
          <w:szCs w:val="21"/>
        </w:rPr>
        <w:t>本项目员工用水按人均用水量80L/d，全天以</w:t>
      </w:r>
      <w:r>
        <w:rPr>
          <w:rFonts w:hint="eastAsia"/>
          <w:bCs/>
          <w:sz w:val="24"/>
          <w:szCs w:val="21"/>
        </w:rPr>
        <w:t>1400</w:t>
      </w:r>
      <w:r>
        <w:rPr>
          <w:bCs/>
          <w:sz w:val="24"/>
          <w:szCs w:val="21"/>
        </w:rPr>
        <w:t>人计，生活用水量</w:t>
      </w:r>
      <w:r>
        <w:rPr>
          <w:rFonts w:hint="eastAsia"/>
          <w:bCs/>
          <w:sz w:val="24"/>
          <w:szCs w:val="21"/>
        </w:rPr>
        <w:t>33520</w:t>
      </w:r>
      <w:r>
        <w:rPr>
          <w:bCs/>
          <w:sz w:val="24"/>
          <w:szCs w:val="21"/>
        </w:rPr>
        <w:t>t/a（</w:t>
      </w:r>
      <w:r>
        <w:rPr>
          <w:rFonts w:hint="eastAsia"/>
          <w:bCs/>
          <w:sz w:val="24"/>
          <w:szCs w:val="21"/>
        </w:rPr>
        <w:t>物流配送人员</w:t>
      </w:r>
      <w:r>
        <w:rPr>
          <w:bCs/>
          <w:sz w:val="24"/>
          <w:szCs w:val="21"/>
        </w:rPr>
        <w:t>一年按</w:t>
      </w:r>
      <w:r>
        <w:rPr>
          <w:rFonts w:hint="eastAsia"/>
          <w:bCs/>
          <w:sz w:val="24"/>
          <w:szCs w:val="21"/>
        </w:rPr>
        <w:t>365</w:t>
      </w:r>
      <w:r>
        <w:rPr>
          <w:bCs/>
          <w:sz w:val="24"/>
          <w:szCs w:val="21"/>
        </w:rPr>
        <w:t>天计</w:t>
      </w:r>
      <w:r>
        <w:rPr>
          <w:rFonts w:hint="eastAsia"/>
          <w:bCs/>
          <w:sz w:val="24"/>
          <w:szCs w:val="21"/>
        </w:rPr>
        <w:t>，研发办公人员按250天计</w:t>
      </w:r>
      <w:r>
        <w:rPr>
          <w:bCs/>
          <w:sz w:val="24"/>
          <w:szCs w:val="21"/>
        </w:rPr>
        <w:t>），排放系数按80%计，则产生的生活污水为</w:t>
      </w:r>
      <w:r>
        <w:rPr>
          <w:rFonts w:hint="eastAsia"/>
          <w:bCs/>
          <w:sz w:val="24"/>
          <w:szCs w:val="21"/>
        </w:rPr>
        <w:t>26816</w:t>
      </w:r>
      <w:r>
        <w:rPr>
          <w:bCs/>
          <w:sz w:val="24"/>
          <w:szCs w:val="21"/>
        </w:rPr>
        <w:t>t/a，主要的污染因子为COD、NH</w:t>
      </w:r>
      <w:r>
        <w:rPr>
          <w:bCs/>
          <w:sz w:val="24"/>
          <w:szCs w:val="21"/>
          <w:vertAlign w:val="subscript"/>
        </w:rPr>
        <w:t>3</w:t>
      </w:r>
      <w:r>
        <w:rPr>
          <w:bCs/>
          <w:sz w:val="24"/>
          <w:szCs w:val="21"/>
        </w:rPr>
        <w:t>-N、SS、TP，</w:t>
      </w:r>
      <w:r>
        <w:rPr>
          <w:sz w:val="24"/>
        </w:rPr>
        <w:t>废水中COD浓度约为350mg/L，SS浓度约为250mg/L，氨氮浓度约为30mg/L、TP浓度约为</w:t>
      </w:r>
      <w:r>
        <w:rPr>
          <w:rFonts w:hint="eastAsia"/>
          <w:sz w:val="24"/>
        </w:rPr>
        <w:t>5</w:t>
      </w:r>
      <w:r>
        <w:rPr>
          <w:sz w:val="24"/>
        </w:rPr>
        <w:t>mg/L。</w:t>
      </w:r>
    </w:p>
    <w:p>
      <w:pPr>
        <w:adjustRightInd w:val="0"/>
        <w:snapToGrid w:val="0"/>
        <w:spacing w:line="360" w:lineRule="auto"/>
        <w:ind w:firstLine="480" w:firstLineChars="200"/>
        <w:jc w:val="left"/>
        <w:rPr>
          <w:rFonts w:hint="eastAsia"/>
          <w:sz w:val="24"/>
        </w:rPr>
      </w:pPr>
      <w:r>
        <w:rPr>
          <w:sz w:val="24"/>
        </w:rPr>
        <w:t>员工生活污水</w:t>
      </w:r>
      <w:r>
        <w:rPr>
          <w:rFonts w:hint="eastAsia"/>
          <w:sz w:val="24"/>
        </w:rPr>
        <w:t>经化粪池处理，</w:t>
      </w:r>
      <w:r>
        <w:rPr>
          <w:sz w:val="24"/>
        </w:rPr>
        <w:t>处理后废水中COD浓度约为300mg/L，SS浓度约为</w:t>
      </w:r>
      <w:r>
        <w:rPr>
          <w:rFonts w:hint="eastAsia"/>
          <w:sz w:val="24"/>
        </w:rPr>
        <w:t>175</w:t>
      </w:r>
      <w:r>
        <w:rPr>
          <w:sz w:val="24"/>
        </w:rPr>
        <w:t>mg/L，氨氮浓度约为2</w:t>
      </w:r>
      <w:r>
        <w:rPr>
          <w:rFonts w:hint="eastAsia"/>
          <w:sz w:val="24"/>
        </w:rPr>
        <w:t>8</w:t>
      </w:r>
      <w:r>
        <w:rPr>
          <w:sz w:val="24"/>
        </w:rPr>
        <w:t>mg/L、TP浓度约为</w:t>
      </w:r>
      <w:r>
        <w:rPr>
          <w:rFonts w:hint="eastAsia"/>
          <w:sz w:val="24"/>
        </w:rPr>
        <w:t>3.</w:t>
      </w:r>
      <w:r>
        <w:rPr>
          <w:sz w:val="24"/>
        </w:rPr>
        <w:t>5mg/L。按此计算出本项目中生活污水接管量为</w:t>
      </w:r>
      <w:r>
        <w:rPr>
          <w:rFonts w:hint="eastAsia"/>
          <w:sz w:val="24"/>
        </w:rPr>
        <w:t>26816</w:t>
      </w:r>
      <w:r>
        <w:rPr>
          <w:sz w:val="24"/>
        </w:rPr>
        <w:t>m</w:t>
      </w:r>
      <w:r>
        <w:rPr>
          <w:sz w:val="24"/>
          <w:vertAlign w:val="superscript"/>
        </w:rPr>
        <w:t>3</w:t>
      </w:r>
      <w:r>
        <w:rPr>
          <w:sz w:val="24"/>
        </w:rPr>
        <w:t>/a，其中COD</w:t>
      </w:r>
      <w:r>
        <w:rPr>
          <w:rFonts w:hint="eastAsia"/>
          <w:sz w:val="24"/>
        </w:rPr>
        <w:t>8.04</w:t>
      </w:r>
      <w:r>
        <w:rPr>
          <w:sz w:val="24"/>
        </w:rPr>
        <w:t>t/a，SS</w:t>
      </w:r>
      <w:r>
        <w:rPr>
          <w:rFonts w:hint="eastAsia"/>
          <w:sz w:val="24"/>
        </w:rPr>
        <w:t>4.69</w:t>
      </w:r>
      <w:r>
        <w:rPr>
          <w:sz w:val="24"/>
        </w:rPr>
        <w:t>t/a，NH</w:t>
      </w:r>
      <w:r>
        <w:rPr>
          <w:sz w:val="24"/>
          <w:vertAlign w:val="subscript"/>
        </w:rPr>
        <w:t>3</w:t>
      </w:r>
      <w:r>
        <w:rPr>
          <w:sz w:val="24"/>
        </w:rPr>
        <w:t>-N</w:t>
      </w:r>
      <w:r>
        <w:rPr>
          <w:rFonts w:hint="eastAsia"/>
          <w:sz w:val="24"/>
        </w:rPr>
        <w:t>0.75</w:t>
      </w:r>
      <w:r>
        <w:rPr>
          <w:sz w:val="24"/>
        </w:rPr>
        <w:t>t/a，TP0.</w:t>
      </w:r>
      <w:r>
        <w:rPr>
          <w:rFonts w:hint="eastAsia"/>
          <w:sz w:val="24"/>
        </w:rPr>
        <w:t>09</w:t>
      </w:r>
      <w:r>
        <w:rPr>
          <w:sz w:val="24"/>
        </w:rPr>
        <w:t>t/a。</w:t>
      </w:r>
    </w:p>
    <w:p>
      <w:pPr>
        <w:adjustRightInd w:val="0"/>
        <w:snapToGrid w:val="0"/>
        <w:spacing w:line="360" w:lineRule="auto"/>
        <w:ind w:firstLine="480" w:firstLineChars="200"/>
        <w:jc w:val="left"/>
        <w:rPr>
          <w:rFonts w:hint="eastAsia"/>
          <w:bCs/>
          <w:sz w:val="24"/>
          <w:szCs w:val="21"/>
        </w:rPr>
      </w:pPr>
      <w:r>
        <w:rPr>
          <w:bCs/>
          <w:sz w:val="24"/>
          <w:szCs w:val="21"/>
        </w:rPr>
        <w:t>（</w:t>
      </w:r>
      <w:r>
        <w:rPr>
          <w:rFonts w:hint="eastAsia"/>
          <w:bCs/>
          <w:sz w:val="24"/>
          <w:szCs w:val="21"/>
        </w:rPr>
        <w:t>2</w:t>
      </w:r>
      <w:r>
        <w:rPr>
          <w:bCs/>
          <w:sz w:val="24"/>
          <w:szCs w:val="21"/>
        </w:rPr>
        <w:t>）本项目绿化面积66220.4m</w:t>
      </w:r>
      <w:r>
        <w:rPr>
          <w:bCs/>
          <w:sz w:val="24"/>
          <w:szCs w:val="21"/>
          <w:vertAlign w:val="superscript"/>
        </w:rPr>
        <w:t>2</w:t>
      </w:r>
      <w:r>
        <w:rPr>
          <w:bCs/>
          <w:sz w:val="24"/>
          <w:szCs w:val="21"/>
        </w:rPr>
        <w:t>，</w:t>
      </w:r>
      <w:r>
        <w:rPr>
          <w:sz w:val="24"/>
        </w:rPr>
        <w:t>根据《江苏省城市生活与公共用水定额》用水定额取</w:t>
      </w:r>
      <w:r>
        <w:rPr>
          <w:rFonts w:hint="eastAsia"/>
          <w:sz w:val="24"/>
        </w:rPr>
        <w:t>1.8</w:t>
      </w:r>
      <w:r>
        <w:rPr>
          <w:sz w:val="24"/>
        </w:rPr>
        <w:t>L/ m</w:t>
      </w:r>
      <w:r>
        <w:rPr>
          <w:sz w:val="24"/>
          <w:vertAlign w:val="superscript"/>
        </w:rPr>
        <w:t>2</w:t>
      </w:r>
      <w:r>
        <w:rPr>
          <w:sz w:val="24"/>
        </w:rPr>
        <w:t>·d</w:t>
      </w:r>
      <w:r>
        <w:rPr>
          <w:rFonts w:hint="eastAsia"/>
          <w:sz w:val="24"/>
        </w:rPr>
        <w:t>（2、3季度）</w:t>
      </w:r>
      <w:r>
        <w:rPr>
          <w:sz w:val="24"/>
        </w:rPr>
        <w:t>，</w:t>
      </w:r>
      <w:r>
        <w:rPr>
          <w:rFonts w:hint="eastAsia"/>
          <w:sz w:val="24"/>
        </w:rPr>
        <w:t>0.5</w:t>
      </w:r>
      <w:r>
        <w:rPr>
          <w:sz w:val="24"/>
        </w:rPr>
        <w:t>L/ m</w:t>
      </w:r>
      <w:r>
        <w:rPr>
          <w:sz w:val="24"/>
          <w:vertAlign w:val="superscript"/>
        </w:rPr>
        <w:t>2</w:t>
      </w:r>
      <w:r>
        <w:rPr>
          <w:sz w:val="24"/>
        </w:rPr>
        <w:t>·d</w:t>
      </w:r>
      <w:r>
        <w:rPr>
          <w:rFonts w:hint="eastAsia"/>
          <w:sz w:val="24"/>
        </w:rPr>
        <w:t>（1、4季度），则</w:t>
      </w:r>
      <w:r>
        <w:rPr>
          <w:sz w:val="24"/>
        </w:rPr>
        <w:t>绿化用水量为</w:t>
      </w:r>
      <w:r>
        <w:rPr>
          <w:rFonts w:hint="eastAsia"/>
          <w:sz w:val="24"/>
        </w:rPr>
        <w:t>27415</w:t>
      </w:r>
      <w:r>
        <w:rPr>
          <w:sz w:val="24"/>
        </w:rPr>
        <w:t>t/a。</w:t>
      </w:r>
    </w:p>
    <w:p>
      <w:pPr>
        <w:adjustRightInd w:val="0"/>
        <w:snapToGrid w:val="0"/>
        <w:spacing w:line="360" w:lineRule="auto"/>
        <w:ind w:firstLine="480" w:firstLineChars="200"/>
        <w:rPr>
          <w:sz w:val="24"/>
        </w:rPr>
      </w:pPr>
      <w:r>
        <w:rPr>
          <w:sz w:val="24"/>
        </w:rPr>
        <w:t>综上所述，本项目最高日用水量为</w:t>
      </w:r>
      <w:r>
        <w:rPr>
          <w:rFonts w:hint="eastAsia"/>
          <w:sz w:val="24"/>
        </w:rPr>
        <w:t>237.15</w:t>
      </w:r>
      <w:r>
        <w:rPr>
          <w:sz w:val="24"/>
        </w:rPr>
        <w:t>m</w:t>
      </w:r>
      <w:r>
        <w:rPr>
          <w:sz w:val="24"/>
          <w:vertAlign w:val="superscript"/>
        </w:rPr>
        <w:t>3</w:t>
      </w:r>
      <w:r>
        <w:rPr>
          <w:sz w:val="24"/>
        </w:rPr>
        <w:t>/ d，具体用水情况详见表</w:t>
      </w:r>
      <w:r>
        <w:rPr>
          <w:rFonts w:hint="eastAsia"/>
          <w:sz w:val="24"/>
        </w:rPr>
        <w:t>2.3-1</w:t>
      </w:r>
      <w:r>
        <w:rPr>
          <w:sz w:val="24"/>
        </w:rPr>
        <w:t>，本项目水平衡图见图</w:t>
      </w:r>
      <w:r>
        <w:rPr>
          <w:rFonts w:hint="eastAsia"/>
          <w:sz w:val="24"/>
        </w:rPr>
        <w:t>2.3-1</w:t>
      </w:r>
      <w:r>
        <w:rPr>
          <w:sz w:val="24"/>
        </w:rPr>
        <w:t>。</w:t>
      </w:r>
    </w:p>
    <w:p>
      <w:pPr>
        <w:adjustRightInd w:val="0"/>
        <w:snapToGrid w:val="0"/>
        <w:jc w:val="center"/>
        <w:rPr>
          <w:rFonts w:hint="eastAsia"/>
          <w:b/>
        </w:rPr>
      </w:pPr>
      <w:r>
        <w:rPr>
          <w:b/>
        </w:rPr>
        <w:t>表</w:t>
      </w:r>
      <w:r>
        <w:rPr>
          <w:rFonts w:hint="eastAsia"/>
          <w:b/>
        </w:rPr>
        <w:t>2</w:t>
      </w:r>
      <w:r>
        <w:rPr>
          <w:b/>
        </w:rPr>
        <w:t>.3-1  本项目用水量一览表</w:t>
      </w:r>
    </w:p>
    <w:tbl>
      <w:tblPr>
        <w:tblStyle w:val="59"/>
        <w:tblW w:w="85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1075"/>
        <w:gridCol w:w="1434"/>
        <w:gridCol w:w="1451"/>
        <w:gridCol w:w="899"/>
        <w:gridCol w:w="1009"/>
        <w:gridCol w:w="1109"/>
        <w:gridCol w:w="11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trPr>
        <w:tc>
          <w:tcPr>
            <w:tcW w:w="1501" w:type="dxa"/>
            <w:gridSpan w:val="2"/>
            <w:vAlign w:val="center"/>
          </w:tcPr>
          <w:p>
            <w:pPr>
              <w:jc w:val="center"/>
              <w:rPr>
                <w:szCs w:val="21"/>
                <w:shd w:val="clear" w:color="auto" w:fill="FFFFFF"/>
              </w:rPr>
            </w:pPr>
            <w:r>
              <w:rPr>
                <w:szCs w:val="21"/>
                <w:shd w:val="clear" w:color="auto" w:fill="FFFFFF"/>
              </w:rPr>
              <w:t>用水项目</w:t>
            </w:r>
          </w:p>
        </w:tc>
        <w:tc>
          <w:tcPr>
            <w:tcW w:w="1434" w:type="dxa"/>
            <w:vAlign w:val="center"/>
          </w:tcPr>
          <w:p>
            <w:pPr>
              <w:jc w:val="center"/>
              <w:rPr>
                <w:rFonts w:hint="eastAsia"/>
                <w:szCs w:val="21"/>
                <w:shd w:val="clear" w:color="auto" w:fill="FFFFFF"/>
              </w:rPr>
            </w:pPr>
            <w:r>
              <w:rPr>
                <w:rFonts w:hint="eastAsia"/>
                <w:szCs w:val="21"/>
                <w:shd w:val="clear" w:color="auto" w:fill="FFFFFF"/>
              </w:rPr>
              <w:t>用水标准</w:t>
            </w:r>
          </w:p>
        </w:tc>
        <w:tc>
          <w:tcPr>
            <w:tcW w:w="1451" w:type="dxa"/>
            <w:vAlign w:val="center"/>
          </w:tcPr>
          <w:p>
            <w:pPr>
              <w:jc w:val="center"/>
              <w:rPr>
                <w:szCs w:val="21"/>
                <w:shd w:val="clear" w:color="auto" w:fill="FFFFFF"/>
              </w:rPr>
            </w:pPr>
            <w:r>
              <w:rPr>
                <w:szCs w:val="21"/>
                <w:shd w:val="clear" w:color="auto" w:fill="FFFFFF"/>
              </w:rPr>
              <w:t>规模</w:t>
            </w:r>
          </w:p>
        </w:tc>
        <w:tc>
          <w:tcPr>
            <w:tcW w:w="899" w:type="dxa"/>
            <w:vAlign w:val="center"/>
          </w:tcPr>
          <w:p>
            <w:pPr>
              <w:jc w:val="center"/>
              <w:rPr>
                <w:szCs w:val="21"/>
                <w:shd w:val="clear" w:color="auto" w:fill="FFFFFF"/>
              </w:rPr>
            </w:pPr>
            <w:r>
              <w:rPr>
                <w:rFonts w:hint="eastAsia"/>
                <w:szCs w:val="21"/>
                <w:shd w:val="clear" w:color="auto" w:fill="FFFFFF"/>
              </w:rPr>
              <w:t>年</w:t>
            </w:r>
            <w:r>
              <w:rPr>
                <w:szCs w:val="21"/>
                <w:shd w:val="clear" w:color="auto" w:fill="FFFFFF"/>
              </w:rPr>
              <w:t>运行天数</w:t>
            </w:r>
          </w:p>
        </w:tc>
        <w:tc>
          <w:tcPr>
            <w:tcW w:w="1009" w:type="dxa"/>
            <w:vAlign w:val="center"/>
          </w:tcPr>
          <w:p>
            <w:pPr>
              <w:jc w:val="center"/>
              <w:rPr>
                <w:szCs w:val="21"/>
                <w:shd w:val="clear" w:color="auto" w:fill="FFFFFF"/>
              </w:rPr>
            </w:pPr>
            <w:r>
              <w:rPr>
                <w:rFonts w:hint="eastAsia"/>
                <w:szCs w:val="21"/>
                <w:shd w:val="clear" w:color="auto" w:fill="FFFFFF"/>
              </w:rPr>
              <w:t>日用</w:t>
            </w:r>
            <w:r>
              <w:rPr>
                <w:szCs w:val="21"/>
                <w:shd w:val="clear" w:color="auto" w:fill="FFFFFF"/>
              </w:rPr>
              <w:t>水量m</w:t>
            </w:r>
            <w:r>
              <w:rPr>
                <w:szCs w:val="21"/>
                <w:shd w:val="clear" w:color="auto" w:fill="FFFFFF"/>
                <w:vertAlign w:val="superscript"/>
              </w:rPr>
              <w:t>3</w:t>
            </w:r>
            <w:r>
              <w:rPr>
                <w:szCs w:val="21"/>
                <w:shd w:val="clear" w:color="auto" w:fill="FFFFFF"/>
              </w:rPr>
              <w:t>/d</w:t>
            </w:r>
          </w:p>
        </w:tc>
        <w:tc>
          <w:tcPr>
            <w:tcW w:w="1109" w:type="dxa"/>
            <w:vAlign w:val="center"/>
          </w:tcPr>
          <w:p>
            <w:pPr>
              <w:jc w:val="center"/>
              <w:rPr>
                <w:rFonts w:hint="eastAsia"/>
                <w:szCs w:val="21"/>
                <w:shd w:val="clear" w:color="auto" w:fill="FFFFFF"/>
              </w:rPr>
            </w:pPr>
            <w:r>
              <w:rPr>
                <w:szCs w:val="21"/>
                <w:shd w:val="clear" w:color="auto" w:fill="FFFFFF"/>
              </w:rPr>
              <w:t>年用水量m</w:t>
            </w:r>
            <w:r>
              <w:rPr>
                <w:szCs w:val="21"/>
                <w:shd w:val="clear" w:color="auto" w:fill="FFFFFF"/>
                <w:vertAlign w:val="superscript"/>
              </w:rPr>
              <w:t>3</w:t>
            </w:r>
            <w:r>
              <w:rPr>
                <w:szCs w:val="21"/>
                <w:shd w:val="clear" w:color="auto" w:fill="FFFFFF"/>
              </w:rPr>
              <w:t>/</w:t>
            </w:r>
            <w:r>
              <w:rPr>
                <w:rFonts w:hint="eastAsia"/>
                <w:szCs w:val="21"/>
                <w:shd w:val="clear" w:color="auto" w:fill="FFFFFF"/>
              </w:rPr>
              <w:t>a</w:t>
            </w:r>
          </w:p>
        </w:tc>
        <w:tc>
          <w:tcPr>
            <w:tcW w:w="1125" w:type="dxa"/>
            <w:vAlign w:val="center"/>
          </w:tcPr>
          <w:p>
            <w:pPr>
              <w:jc w:val="center"/>
              <w:rPr>
                <w:szCs w:val="21"/>
                <w:shd w:val="clear" w:color="auto" w:fill="FFFFFF"/>
              </w:rPr>
            </w:pPr>
            <w:r>
              <w:rPr>
                <w:szCs w:val="21"/>
                <w:shd w:val="clear" w:color="auto" w:fill="FFFFFF"/>
              </w:rPr>
              <w:t>年</w:t>
            </w:r>
            <w:r>
              <w:rPr>
                <w:rFonts w:hint="eastAsia"/>
                <w:szCs w:val="21"/>
                <w:shd w:val="clear" w:color="auto" w:fill="FFFFFF"/>
              </w:rPr>
              <w:t>排水</w:t>
            </w:r>
            <w:r>
              <w:rPr>
                <w:szCs w:val="21"/>
                <w:shd w:val="clear" w:color="auto" w:fill="FFFFFF"/>
              </w:rPr>
              <w:t>量m</w:t>
            </w:r>
            <w:r>
              <w:rPr>
                <w:szCs w:val="21"/>
                <w:shd w:val="clear" w:color="auto" w:fill="FFFFFF"/>
                <w:vertAlign w:val="superscript"/>
              </w:rPr>
              <w:t>3</w:t>
            </w:r>
            <w:r>
              <w:rPr>
                <w:szCs w:val="21"/>
                <w:shd w:val="clear" w:color="auto" w:fill="FFFFFF"/>
              </w:rPr>
              <w:t>/</w:t>
            </w:r>
            <w:r>
              <w:rPr>
                <w:rFonts w:hint="eastAsia"/>
                <w:szCs w:val="21"/>
                <w:shd w:val="clear" w:color="auto" w:fill="FFFFFF"/>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trPr>
        <w:tc>
          <w:tcPr>
            <w:tcW w:w="1501" w:type="dxa"/>
            <w:gridSpan w:val="2"/>
            <w:vAlign w:val="center"/>
          </w:tcPr>
          <w:p>
            <w:pPr>
              <w:jc w:val="center"/>
              <w:rPr>
                <w:szCs w:val="21"/>
                <w:shd w:val="clear" w:color="auto" w:fill="FFFFFF"/>
              </w:rPr>
            </w:pPr>
            <w:bookmarkStart w:id="93" w:name="_Hlk419276120"/>
            <w:bookmarkStart w:id="94" w:name="_Hlk421547898"/>
            <w:r>
              <w:rPr>
                <w:rFonts w:hint="eastAsia"/>
                <w:szCs w:val="21"/>
                <w:shd w:val="clear" w:color="auto" w:fill="FFFFFF"/>
              </w:rPr>
              <w:t>物流生活用水</w:t>
            </w:r>
          </w:p>
        </w:tc>
        <w:tc>
          <w:tcPr>
            <w:tcW w:w="1434" w:type="dxa"/>
            <w:vAlign w:val="center"/>
          </w:tcPr>
          <w:p>
            <w:pPr>
              <w:jc w:val="center"/>
              <w:rPr>
                <w:szCs w:val="21"/>
                <w:shd w:val="clear" w:color="auto" w:fill="FFFFFF"/>
              </w:rPr>
            </w:pPr>
            <w:r>
              <w:rPr>
                <w:rFonts w:hint="eastAsia"/>
                <w:szCs w:val="21"/>
                <w:shd w:val="clear" w:color="auto" w:fill="FFFFFF"/>
              </w:rPr>
              <w:t>80</w:t>
            </w:r>
            <w:r>
              <w:rPr>
                <w:szCs w:val="21"/>
                <w:shd w:val="clear" w:color="auto" w:fill="FFFFFF"/>
              </w:rPr>
              <w:t>L/</w:t>
            </w:r>
            <w:r>
              <w:rPr>
                <w:rFonts w:hint="eastAsia"/>
                <w:szCs w:val="21"/>
                <w:shd w:val="clear" w:color="auto" w:fill="FFFFFF"/>
              </w:rPr>
              <w:t>人</w:t>
            </w:r>
            <w:r>
              <w:rPr>
                <w:szCs w:val="21"/>
                <w:shd w:val="clear" w:color="auto" w:fill="FFFFFF"/>
              </w:rPr>
              <w:t>·d</w:t>
            </w:r>
          </w:p>
        </w:tc>
        <w:tc>
          <w:tcPr>
            <w:tcW w:w="1451" w:type="dxa"/>
            <w:vAlign w:val="center"/>
          </w:tcPr>
          <w:p>
            <w:pPr>
              <w:jc w:val="center"/>
              <w:rPr>
                <w:szCs w:val="21"/>
                <w:shd w:val="clear" w:color="auto" w:fill="FFFFFF"/>
              </w:rPr>
            </w:pPr>
            <w:r>
              <w:rPr>
                <w:rFonts w:hint="eastAsia"/>
                <w:szCs w:val="21"/>
                <w:shd w:val="clear" w:color="auto" w:fill="FFFFFF"/>
              </w:rPr>
              <w:t>600人</w:t>
            </w:r>
          </w:p>
        </w:tc>
        <w:tc>
          <w:tcPr>
            <w:tcW w:w="899" w:type="dxa"/>
            <w:vAlign w:val="center"/>
          </w:tcPr>
          <w:p>
            <w:pPr>
              <w:jc w:val="center"/>
              <w:rPr>
                <w:szCs w:val="21"/>
                <w:shd w:val="clear" w:color="auto" w:fill="FFFFFF"/>
              </w:rPr>
            </w:pPr>
            <w:r>
              <w:rPr>
                <w:szCs w:val="21"/>
                <w:shd w:val="clear" w:color="auto" w:fill="FFFFFF"/>
              </w:rPr>
              <w:t>365</w:t>
            </w:r>
            <w:r>
              <w:rPr>
                <w:rFonts w:hint="eastAsia"/>
                <w:szCs w:val="21"/>
                <w:shd w:val="clear" w:color="auto" w:fill="FFFFFF"/>
              </w:rPr>
              <w:t>天</w:t>
            </w:r>
          </w:p>
        </w:tc>
        <w:tc>
          <w:tcPr>
            <w:tcW w:w="1009" w:type="dxa"/>
            <w:vAlign w:val="center"/>
          </w:tcPr>
          <w:p>
            <w:pPr>
              <w:jc w:val="center"/>
              <w:rPr>
                <w:szCs w:val="21"/>
                <w:shd w:val="clear" w:color="auto" w:fill="FFFFFF"/>
              </w:rPr>
            </w:pPr>
            <w:r>
              <w:rPr>
                <w:rFonts w:hint="eastAsia"/>
                <w:szCs w:val="21"/>
                <w:shd w:val="clear" w:color="auto" w:fill="FFFFFF"/>
              </w:rPr>
              <w:t>48</w:t>
            </w:r>
          </w:p>
        </w:tc>
        <w:tc>
          <w:tcPr>
            <w:tcW w:w="1109" w:type="dxa"/>
            <w:vAlign w:val="center"/>
          </w:tcPr>
          <w:p>
            <w:pPr>
              <w:jc w:val="center"/>
              <w:rPr>
                <w:szCs w:val="21"/>
                <w:shd w:val="clear" w:color="auto" w:fill="FFFFFF"/>
              </w:rPr>
            </w:pPr>
            <w:r>
              <w:rPr>
                <w:rFonts w:hint="eastAsia"/>
                <w:szCs w:val="21"/>
                <w:shd w:val="clear" w:color="auto" w:fill="FFFFFF"/>
              </w:rPr>
              <w:t>17520</w:t>
            </w:r>
          </w:p>
        </w:tc>
        <w:tc>
          <w:tcPr>
            <w:tcW w:w="1125" w:type="dxa"/>
            <w:vAlign w:val="center"/>
          </w:tcPr>
          <w:p>
            <w:pPr>
              <w:jc w:val="center"/>
              <w:rPr>
                <w:szCs w:val="21"/>
                <w:shd w:val="clear" w:color="auto" w:fill="FFFFFF"/>
              </w:rPr>
            </w:pPr>
            <w:r>
              <w:rPr>
                <w:rFonts w:hint="eastAsia"/>
                <w:szCs w:val="21"/>
                <w:shd w:val="clear" w:color="auto" w:fill="FFFFFF"/>
              </w:rPr>
              <w:t>14016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trPr>
        <w:tc>
          <w:tcPr>
            <w:tcW w:w="1501" w:type="dxa"/>
            <w:gridSpan w:val="2"/>
            <w:vAlign w:val="center"/>
          </w:tcPr>
          <w:p>
            <w:pPr>
              <w:jc w:val="center"/>
              <w:rPr>
                <w:rFonts w:hint="eastAsia"/>
                <w:szCs w:val="21"/>
                <w:shd w:val="clear" w:color="auto" w:fill="FFFFFF"/>
              </w:rPr>
            </w:pPr>
            <w:r>
              <w:rPr>
                <w:rFonts w:hint="eastAsia"/>
                <w:szCs w:val="21"/>
                <w:shd w:val="clear" w:color="auto" w:fill="FFFFFF"/>
              </w:rPr>
              <w:t>办公生活用水</w:t>
            </w:r>
          </w:p>
        </w:tc>
        <w:tc>
          <w:tcPr>
            <w:tcW w:w="1434" w:type="dxa"/>
            <w:vAlign w:val="center"/>
          </w:tcPr>
          <w:p>
            <w:pPr>
              <w:jc w:val="center"/>
              <w:rPr>
                <w:szCs w:val="21"/>
                <w:shd w:val="clear" w:color="auto" w:fill="FFFFFF"/>
              </w:rPr>
            </w:pPr>
            <w:r>
              <w:rPr>
                <w:rFonts w:hint="eastAsia"/>
                <w:szCs w:val="21"/>
                <w:shd w:val="clear" w:color="auto" w:fill="FFFFFF"/>
              </w:rPr>
              <w:t>80</w:t>
            </w:r>
            <w:r>
              <w:rPr>
                <w:szCs w:val="21"/>
                <w:shd w:val="clear" w:color="auto" w:fill="FFFFFF"/>
              </w:rPr>
              <w:t>L/</w:t>
            </w:r>
            <w:r>
              <w:rPr>
                <w:rFonts w:hint="eastAsia"/>
                <w:szCs w:val="21"/>
                <w:shd w:val="clear" w:color="auto" w:fill="FFFFFF"/>
              </w:rPr>
              <w:t>人</w:t>
            </w:r>
            <w:r>
              <w:rPr>
                <w:szCs w:val="21"/>
                <w:shd w:val="clear" w:color="auto" w:fill="FFFFFF"/>
              </w:rPr>
              <w:t>·d</w:t>
            </w:r>
          </w:p>
        </w:tc>
        <w:tc>
          <w:tcPr>
            <w:tcW w:w="1451" w:type="dxa"/>
            <w:vAlign w:val="center"/>
          </w:tcPr>
          <w:p>
            <w:pPr>
              <w:jc w:val="center"/>
              <w:rPr>
                <w:szCs w:val="21"/>
                <w:shd w:val="clear" w:color="auto" w:fill="FFFFFF"/>
              </w:rPr>
            </w:pPr>
            <w:r>
              <w:rPr>
                <w:rFonts w:hint="eastAsia"/>
                <w:szCs w:val="21"/>
                <w:shd w:val="clear" w:color="auto" w:fill="FFFFFF"/>
              </w:rPr>
              <w:t>800人</w:t>
            </w:r>
          </w:p>
        </w:tc>
        <w:tc>
          <w:tcPr>
            <w:tcW w:w="899" w:type="dxa"/>
            <w:vAlign w:val="center"/>
          </w:tcPr>
          <w:p>
            <w:pPr>
              <w:jc w:val="center"/>
              <w:rPr>
                <w:szCs w:val="21"/>
                <w:shd w:val="clear" w:color="auto" w:fill="FFFFFF"/>
              </w:rPr>
            </w:pPr>
            <w:r>
              <w:rPr>
                <w:rFonts w:hint="eastAsia"/>
                <w:szCs w:val="21"/>
                <w:shd w:val="clear" w:color="auto" w:fill="FFFFFF"/>
              </w:rPr>
              <w:t>25</w:t>
            </w:r>
            <w:r>
              <w:rPr>
                <w:szCs w:val="21"/>
                <w:shd w:val="clear" w:color="auto" w:fill="FFFFFF"/>
              </w:rPr>
              <w:t>0</w:t>
            </w:r>
            <w:r>
              <w:rPr>
                <w:rFonts w:hint="eastAsia"/>
                <w:szCs w:val="21"/>
                <w:shd w:val="clear" w:color="auto" w:fill="FFFFFF"/>
              </w:rPr>
              <w:t>天</w:t>
            </w:r>
          </w:p>
        </w:tc>
        <w:tc>
          <w:tcPr>
            <w:tcW w:w="1009" w:type="dxa"/>
            <w:vAlign w:val="center"/>
          </w:tcPr>
          <w:p>
            <w:pPr>
              <w:jc w:val="center"/>
              <w:rPr>
                <w:szCs w:val="21"/>
                <w:shd w:val="clear" w:color="auto" w:fill="FFFFFF"/>
              </w:rPr>
            </w:pPr>
            <w:r>
              <w:rPr>
                <w:rFonts w:hint="eastAsia"/>
                <w:szCs w:val="21"/>
                <w:shd w:val="clear" w:color="auto" w:fill="FFFFFF"/>
              </w:rPr>
              <w:t>64</w:t>
            </w:r>
          </w:p>
        </w:tc>
        <w:tc>
          <w:tcPr>
            <w:tcW w:w="1109" w:type="dxa"/>
            <w:vAlign w:val="center"/>
          </w:tcPr>
          <w:p>
            <w:pPr>
              <w:jc w:val="center"/>
              <w:rPr>
                <w:szCs w:val="21"/>
                <w:shd w:val="clear" w:color="auto" w:fill="FFFFFF"/>
              </w:rPr>
            </w:pPr>
            <w:r>
              <w:rPr>
                <w:rFonts w:hint="eastAsia"/>
                <w:szCs w:val="21"/>
                <w:shd w:val="clear" w:color="auto" w:fill="FFFFFF"/>
              </w:rPr>
              <w:t>16000</w:t>
            </w:r>
          </w:p>
        </w:tc>
        <w:tc>
          <w:tcPr>
            <w:tcW w:w="1125" w:type="dxa"/>
            <w:vAlign w:val="center"/>
          </w:tcPr>
          <w:p>
            <w:pPr>
              <w:jc w:val="center"/>
              <w:rPr>
                <w:szCs w:val="21"/>
                <w:shd w:val="clear" w:color="auto" w:fill="FFFFFF"/>
              </w:rPr>
            </w:pPr>
            <w:r>
              <w:rPr>
                <w:rFonts w:hint="eastAsia"/>
                <w:szCs w:val="21"/>
                <w:shd w:val="clear" w:color="auto" w:fill="FFFFFF"/>
              </w:rPr>
              <w:t>12800</w:t>
            </w:r>
          </w:p>
        </w:tc>
      </w:tr>
      <w:bookmarkEnd w:id="93"/>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trPr>
        <w:tc>
          <w:tcPr>
            <w:tcW w:w="426" w:type="dxa"/>
            <w:vMerge w:val="restart"/>
            <w:vAlign w:val="center"/>
          </w:tcPr>
          <w:p>
            <w:pPr>
              <w:jc w:val="center"/>
              <w:rPr>
                <w:rFonts w:hint="eastAsia"/>
                <w:szCs w:val="21"/>
                <w:shd w:val="clear" w:color="auto" w:fill="FFFFFF"/>
              </w:rPr>
            </w:pPr>
            <w:r>
              <w:rPr>
                <w:rFonts w:hint="eastAsia"/>
                <w:szCs w:val="21"/>
                <w:shd w:val="clear" w:color="auto" w:fill="FFFFFF"/>
              </w:rPr>
              <w:t>绿化</w:t>
            </w:r>
          </w:p>
        </w:tc>
        <w:tc>
          <w:tcPr>
            <w:tcW w:w="1075" w:type="dxa"/>
            <w:vAlign w:val="center"/>
          </w:tcPr>
          <w:p>
            <w:pPr>
              <w:jc w:val="center"/>
              <w:rPr>
                <w:szCs w:val="21"/>
                <w:shd w:val="clear" w:color="auto" w:fill="FFFFFF"/>
              </w:rPr>
            </w:pPr>
            <w:r>
              <w:rPr>
                <w:szCs w:val="21"/>
                <w:shd w:val="clear" w:color="auto" w:fill="FFFFFF"/>
              </w:rPr>
              <w:t>2、3季度</w:t>
            </w:r>
          </w:p>
        </w:tc>
        <w:tc>
          <w:tcPr>
            <w:tcW w:w="1434" w:type="dxa"/>
            <w:vAlign w:val="center"/>
          </w:tcPr>
          <w:p>
            <w:pPr>
              <w:jc w:val="center"/>
              <w:rPr>
                <w:szCs w:val="21"/>
                <w:shd w:val="clear" w:color="auto" w:fill="FFFFFF"/>
              </w:rPr>
            </w:pPr>
            <w:r>
              <w:rPr>
                <w:rFonts w:hint="eastAsia"/>
                <w:szCs w:val="21"/>
                <w:shd w:val="clear" w:color="auto" w:fill="FFFFFF"/>
              </w:rPr>
              <w:t>1.8</w:t>
            </w:r>
            <w:r>
              <w:rPr>
                <w:szCs w:val="21"/>
                <w:shd w:val="clear" w:color="auto" w:fill="FFFFFF"/>
              </w:rPr>
              <w:t>L/m</w:t>
            </w:r>
            <w:r>
              <w:rPr>
                <w:szCs w:val="21"/>
                <w:shd w:val="clear" w:color="auto" w:fill="FFFFFF"/>
                <w:vertAlign w:val="superscript"/>
              </w:rPr>
              <w:t>2</w:t>
            </w:r>
            <w:r>
              <w:rPr>
                <w:szCs w:val="21"/>
                <w:shd w:val="clear" w:color="auto" w:fill="FFFFFF"/>
              </w:rPr>
              <w:t>·d</w:t>
            </w:r>
          </w:p>
        </w:tc>
        <w:tc>
          <w:tcPr>
            <w:tcW w:w="1451" w:type="dxa"/>
            <w:vMerge w:val="restart"/>
            <w:vAlign w:val="center"/>
          </w:tcPr>
          <w:p>
            <w:pPr>
              <w:jc w:val="center"/>
              <w:rPr>
                <w:szCs w:val="21"/>
                <w:shd w:val="clear" w:color="auto" w:fill="FFFFFF"/>
              </w:rPr>
            </w:pPr>
            <w:r>
              <w:rPr>
                <w:rFonts w:hint="eastAsia"/>
                <w:szCs w:val="21"/>
                <w:shd w:val="clear" w:color="auto" w:fill="FFFFFF"/>
              </w:rPr>
              <w:t>66220.4</w:t>
            </w:r>
            <w:r>
              <w:rPr>
                <w:szCs w:val="21"/>
                <w:shd w:val="clear" w:color="auto" w:fill="FFFFFF"/>
              </w:rPr>
              <w:t>m</w:t>
            </w:r>
            <w:r>
              <w:rPr>
                <w:szCs w:val="21"/>
                <w:shd w:val="clear" w:color="auto" w:fill="FFFFFF"/>
                <w:vertAlign w:val="superscript"/>
              </w:rPr>
              <w:t>2</w:t>
            </w:r>
          </w:p>
        </w:tc>
        <w:tc>
          <w:tcPr>
            <w:tcW w:w="899" w:type="dxa"/>
            <w:vAlign w:val="center"/>
          </w:tcPr>
          <w:p>
            <w:pPr>
              <w:jc w:val="center"/>
              <w:rPr>
                <w:szCs w:val="21"/>
                <w:shd w:val="clear" w:color="auto" w:fill="FFFFFF"/>
              </w:rPr>
            </w:pPr>
            <w:r>
              <w:rPr>
                <w:szCs w:val="21"/>
                <w:shd w:val="clear" w:color="auto" w:fill="FFFFFF"/>
              </w:rPr>
              <w:t>180</w:t>
            </w:r>
            <w:r>
              <w:rPr>
                <w:rFonts w:hint="eastAsia"/>
                <w:szCs w:val="21"/>
                <w:shd w:val="clear" w:color="auto" w:fill="FFFFFF"/>
              </w:rPr>
              <w:t>天</w:t>
            </w:r>
          </w:p>
        </w:tc>
        <w:tc>
          <w:tcPr>
            <w:tcW w:w="1009" w:type="dxa"/>
            <w:vAlign w:val="center"/>
          </w:tcPr>
          <w:p>
            <w:pPr>
              <w:jc w:val="center"/>
              <w:rPr>
                <w:szCs w:val="21"/>
                <w:shd w:val="clear" w:color="auto" w:fill="FFFFFF"/>
              </w:rPr>
            </w:pPr>
            <w:r>
              <w:rPr>
                <w:rFonts w:hint="eastAsia"/>
                <w:szCs w:val="21"/>
                <w:shd w:val="clear" w:color="auto" w:fill="FFFFFF"/>
              </w:rPr>
              <w:t>119.2</w:t>
            </w:r>
          </w:p>
        </w:tc>
        <w:tc>
          <w:tcPr>
            <w:tcW w:w="1109" w:type="dxa"/>
            <w:vAlign w:val="center"/>
          </w:tcPr>
          <w:p>
            <w:pPr>
              <w:jc w:val="center"/>
              <w:rPr>
                <w:szCs w:val="21"/>
                <w:shd w:val="clear" w:color="auto" w:fill="FFFFFF"/>
              </w:rPr>
            </w:pPr>
            <w:r>
              <w:rPr>
                <w:rFonts w:hint="eastAsia"/>
                <w:szCs w:val="21"/>
                <w:shd w:val="clear" w:color="auto" w:fill="FFFFFF"/>
              </w:rPr>
              <w:t>21455</w:t>
            </w:r>
          </w:p>
        </w:tc>
        <w:tc>
          <w:tcPr>
            <w:tcW w:w="1125" w:type="dxa"/>
            <w:vAlign w:val="center"/>
          </w:tcPr>
          <w:p>
            <w:pPr>
              <w:jc w:val="center"/>
              <w:rPr>
                <w:szCs w:val="21"/>
                <w:shd w:val="clear" w:color="auto" w:fill="FFFFFF"/>
              </w:rPr>
            </w:pPr>
            <w:r>
              <w:rPr>
                <w:rFonts w:hint="eastAsia"/>
                <w:szCs w:val="21"/>
                <w:shd w:val="clear" w:color="auto" w:fill="FFFFFF"/>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trPr>
        <w:tc>
          <w:tcPr>
            <w:tcW w:w="426" w:type="dxa"/>
            <w:vMerge w:val="continue"/>
            <w:vAlign w:val="center"/>
          </w:tcPr>
          <w:p>
            <w:pPr>
              <w:jc w:val="center"/>
              <w:rPr>
                <w:rFonts w:hint="eastAsia"/>
                <w:szCs w:val="21"/>
                <w:shd w:val="clear" w:color="auto" w:fill="FFFFFF"/>
              </w:rPr>
            </w:pPr>
          </w:p>
        </w:tc>
        <w:tc>
          <w:tcPr>
            <w:tcW w:w="1075" w:type="dxa"/>
            <w:vAlign w:val="center"/>
          </w:tcPr>
          <w:p>
            <w:pPr>
              <w:jc w:val="center"/>
              <w:rPr>
                <w:szCs w:val="21"/>
                <w:shd w:val="clear" w:color="auto" w:fill="FFFFFF"/>
              </w:rPr>
            </w:pPr>
            <w:r>
              <w:rPr>
                <w:szCs w:val="21"/>
                <w:shd w:val="clear" w:color="auto" w:fill="FFFFFF"/>
              </w:rPr>
              <w:t>1、4季度</w:t>
            </w:r>
          </w:p>
        </w:tc>
        <w:tc>
          <w:tcPr>
            <w:tcW w:w="1434" w:type="dxa"/>
            <w:vAlign w:val="center"/>
          </w:tcPr>
          <w:p>
            <w:pPr>
              <w:jc w:val="center"/>
              <w:rPr>
                <w:szCs w:val="21"/>
                <w:shd w:val="clear" w:color="auto" w:fill="FFFFFF"/>
              </w:rPr>
            </w:pPr>
            <w:r>
              <w:rPr>
                <w:szCs w:val="21"/>
                <w:shd w:val="clear" w:color="auto" w:fill="FFFFFF"/>
              </w:rPr>
              <w:t>0.</w:t>
            </w:r>
            <w:r>
              <w:rPr>
                <w:rFonts w:hint="eastAsia"/>
                <w:szCs w:val="21"/>
                <w:shd w:val="clear" w:color="auto" w:fill="FFFFFF"/>
              </w:rPr>
              <w:t>5</w:t>
            </w:r>
            <w:r>
              <w:rPr>
                <w:szCs w:val="21"/>
                <w:shd w:val="clear" w:color="auto" w:fill="FFFFFF"/>
              </w:rPr>
              <w:t xml:space="preserve"> L/m</w:t>
            </w:r>
            <w:r>
              <w:rPr>
                <w:szCs w:val="21"/>
                <w:shd w:val="clear" w:color="auto" w:fill="FFFFFF"/>
                <w:vertAlign w:val="superscript"/>
              </w:rPr>
              <w:t>2</w:t>
            </w:r>
            <w:r>
              <w:rPr>
                <w:szCs w:val="21"/>
                <w:shd w:val="clear" w:color="auto" w:fill="FFFFFF"/>
              </w:rPr>
              <w:t>·d</w:t>
            </w:r>
          </w:p>
        </w:tc>
        <w:tc>
          <w:tcPr>
            <w:tcW w:w="1451" w:type="dxa"/>
            <w:vMerge w:val="continue"/>
            <w:vAlign w:val="center"/>
          </w:tcPr>
          <w:p>
            <w:pPr>
              <w:jc w:val="center"/>
              <w:rPr>
                <w:szCs w:val="21"/>
                <w:shd w:val="clear" w:color="auto" w:fill="FFFFFF"/>
              </w:rPr>
            </w:pPr>
          </w:p>
        </w:tc>
        <w:tc>
          <w:tcPr>
            <w:tcW w:w="899" w:type="dxa"/>
            <w:vAlign w:val="center"/>
          </w:tcPr>
          <w:p>
            <w:pPr>
              <w:jc w:val="center"/>
              <w:rPr>
                <w:szCs w:val="21"/>
                <w:shd w:val="clear" w:color="auto" w:fill="FFFFFF"/>
              </w:rPr>
            </w:pPr>
            <w:r>
              <w:rPr>
                <w:szCs w:val="21"/>
                <w:shd w:val="clear" w:color="auto" w:fill="FFFFFF"/>
              </w:rPr>
              <w:t>180</w:t>
            </w:r>
            <w:r>
              <w:rPr>
                <w:rFonts w:hint="eastAsia"/>
                <w:szCs w:val="21"/>
                <w:shd w:val="clear" w:color="auto" w:fill="FFFFFF"/>
              </w:rPr>
              <w:t>天</w:t>
            </w:r>
          </w:p>
        </w:tc>
        <w:tc>
          <w:tcPr>
            <w:tcW w:w="1009" w:type="dxa"/>
            <w:vAlign w:val="center"/>
          </w:tcPr>
          <w:p>
            <w:pPr>
              <w:jc w:val="center"/>
              <w:rPr>
                <w:szCs w:val="21"/>
                <w:shd w:val="clear" w:color="auto" w:fill="FFFFFF"/>
              </w:rPr>
            </w:pPr>
            <w:r>
              <w:rPr>
                <w:rFonts w:hint="eastAsia"/>
                <w:szCs w:val="21"/>
                <w:shd w:val="clear" w:color="auto" w:fill="FFFFFF"/>
              </w:rPr>
              <w:t>5.95</w:t>
            </w:r>
          </w:p>
        </w:tc>
        <w:tc>
          <w:tcPr>
            <w:tcW w:w="1109" w:type="dxa"/>
            <w:vAlign w:val="center"/>
          </w:tcPr>
          <w:p>
            <w:pPr>
              <w:jc w:val="center"/>
              <w:rPr>
                <w:szCs w:val="21"/>
                <w:shd w:val="clear" w:color="auto" w:fill="FFFFFF"/>
              </w:rPr>
            </w:pPr>
            <w:r>
              <w:rPr>
                <w:rFonts w:hint="eastAsia"/>
                <w:szCs w:val="21"/>
                <w:shd w:val="clear" w:color="auto" w:fill="FFFFFF"/>
              </w:rPr>
              <w:t>5960</w:t>
            </w:r>
          </w:p>
        </w:tc>
        <w:tc>
          <w:tcPr>
            <w:tcW w:w="1125" w:type="dxa"/>
            <w:vAlign w:val="center"/>
          </w:tcPr>
          <w:p>
            <w:pPr>
              <w:jc w:val="center"/>
              <w:rPr>
                <w:szCs w:val="21"/>
                <w:shd w:val="clear" w:color="auto" w:fill="FFFFFF"/>
              </w:rPr>
            </w:pPr>
            <w:r>
              <w:rPr>
                <w:rFonts w:hint="eastAsia"/>
                <w:szCs w:val="21"/>
                <w:shd w:val="clear" w:color="auto" w:fill="FFFFFF"/>
              </w:rPr>
              <w:t>/</w:t>
            </w:r>
          </w:p>
        </w:tc>
      </w:tr>
      <w:bookmarkEnd w:id="94"/>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trPr>
        <w:tc>
          <w:tcPr>
            <w:tcW w:w="1501" w:type="dxa"/>
            <w:gridSpan w:val="2"/>
            <w:vAlign w:val="center"/>
          </w:tcPr>
          <w:p>
            <w:pPr>
              <w:jc w:val="center"/>
              <w:rPr>
                <w:szCs w:val="21"/>
                <w:shd w:val="clear" w:color="auto" w:fill="FFFFFF"/>
              </w:rPr>
            </w:pPr>
            <w:r>
              <w:rPr>
                <w:szCs w:val="21"/>
                <w:shd w:val="clear" w:color="auto" w:fill="FFFFFF"/>
              </w:rPr>
              <w:t>合计</w:t>
            </w:r>
          </w:p>
        </w:tc>
        <w:tc>
          <w:tcPr>
            <w:tcW w:w="1434" w:type="dxa"/>
            <w:vAlign w:val="center"/>
          </w:tcPr>
          <w:p>
            <w:pPr>
              <w:jc w:val="center"/>
              <w:rPr>
                <w:szCs w:val="21"/>
                <w:shd w:val="clear" w:color="auto" w:fill="FFFFFF"/>
              </w:rPr>
            </w:pPr>
            <w:r>
              <w:rPr>
                <w:szCs w:val="21"/>
                <w:shd w:val="clear" w:color="auto" w:fill="FFFFFF"/>
              </w:rPr>
              <w:t>/</w:t>
            </w:r>
          </w:p>
        </w:tc>
        <w:tc>
          <w:tcPr>
            <w:tcW w:w="1451" w:type="dxa"/>
            <w:vAlign w:val="center"/>
          </w:tcPr>
          <w:p>
            <w:pPr>
              <w:jc w:val="center"/>
              <w:rPr>
                <w:szCs w:val="21"/>
                <w:shd w:val="clear" w:color="auto" w:fill="FFFFFF"/>
              </w:rPr>
            </w:pPr>
            <w:r>
              <w:rPr>
                <w:szCs w:val="21"/>
                <w:shd w:val="clear" w:color="auto" w:fill="FFFFFF"/>
              </w:rPr>
              <w:t>/</w:t>
            </w:r>
          </w:p>
        </w:tc>
        <w:tc>
          <w:tcPr>
            <w:tcW w:w="899" w:type="dxa"/>
            <w:vAlign w:val="center"/>
          </w:tcPr>
          <w:p>
            <w:pPr>
              <w:jc w:val="center"/>
              <w:rPr>
                <w:szCs w:val="21"/>
                <w:shd w:val="clear" w:color="auto" w:fill="FFFFFF"/>
              </w:rPr>
            </w:pPr>
            <w:r>
              <w:rPr>
                <w:szCs w:val="21"/>
                <w:shd w:val="clear" w:color="auto" w:fill="FFFFFF"/>
              </w:rPr>
              <w:t>/</w:t>
            </w:r>
          </w:p>
        </w:tc>
        <w:tc>
          <w:tcPr>
            <w:tcW w:w="1009" w:type="dxa"/>
            <w:vAlign w:val="center"/>
          </w:tcPr>
          <w:p>
            <w:pPr>
              <w:jc w:val="center"/>
              <w:rPr>
                <w:szCs w:val="21"/>
                <w:shd w:val="clear" w:color="auto" w:fill="FFFFFF"/>
              </w:rPr>
            </w:pPr>
            <w:r>
              <w:rPr>
                <w:rFonts w:hint="eastAsia"/>
                <w:szCs w:val="21"/>
                <w:shd w:val="clear" w:color="auto" w:fill="FFFFFF"/>
              </w:rPr>
              <w:t>237.15</w:t>
            </w:r>
          </w:p>
        </w:tc>
        <w:tc>
          <w:tcPr>
            <w:tcW w:w="1109" w:type="dxa"/>
            <w:vAlign w:val="center"/>
          </w:tcPr>
          <w:p>
            <w:pPr>
              <w:jc w:val="center"/>
              <w:rPr>
                <w:szCs w:val="21"/>
                <w:shd w:val="clear" w:color="auto" w:fill="FFFFFF"/>
              </w:rPr>
            </w:pPr>
            <w:r>
              <w:rPr>
                <w:rFonts w:hint="eastAsia"/>
                <w:szCs w:val="21"/>
                <w:shd w:val="clear" w:color="auto" w:fill="FFFFFF"/>
              </w:rPr>
              <w:t>60935</w:t>
            </w:r>
          </w:p>
        </w:tc>
        <w:tc>
          <w:tcPr>
            <w:tcW w:w="1125" w:type="dxa"/>
            <w:vAlign w:val="center"/>
          </w:tcPr>
          <w:p>
            <w:pPr>
              <w:jc w:val="center"/>
              <w:rPr>
                <w:szCs w:val="21"/>
                <w:shd w:val="clear" w:color="auto" w:fill="FFFFFF"/>
              </w:rPr>
            </w:pPr>
            <w:r>
              <w:rPr>
                <w:rFonts w:hint="eastAsia"/>
                <w:szCs w:val="21"/>
                <w:shd w:val="clear" w:color="auto" w:fill="FFFFFF"/>
              </w:rPr>
              <w:t>26816</w:t>
            </w:r>
          </w:p>
        </w:tc>
      </w:tr>
    </w:tbl>
    <w:p>
      <w:pPr>
        <w:adjustRightInd w:val="0"/>
        <w:snapToGrid w:val="0"/>
        <w:jc w:val="center"/>
        <w:rPr>
          <w:rFonts w:hint="eastAsia"/>
          <w:b/>
        </w:rPr>
      </w:pPr>
      <w:r>
        <w:object>
          <v:shape id="_x0000_i1025" o:spt="75" type="#_x0000_t75" style="height:109.9pt;width:415.05pt;" o:ole="t" filled="f" o:preferrelative="t" stroked="f" coordsize="21600,21600">
            <v:path/>
            <v:fill on="f" alignshape="1" focussize="0,0"/>
            <v:stroke on="f"/>
            <v:imagedata r:id="rId8" grayscale="f" bilevel="f" o:title=""/>
            <o:lock v:ext="edit" aspectratio="t"/>
            <w10:wrap type="none"/>
            <w10:anchorlock/>
          </v:shape>
          <o:OLEObject Type="Embed" ProgID="Visio.Drawing.11" ShapeID="_x0000_i1025" DrawAspect="Content" ObjectID="_1468075725" r:id="rId7"/>
        </w:object>
      </w:r>
    </w:p>
    <w:p>
      <w:pPr>
        <w:jc w:val="center"/>
        <w:rPr>
          <w:sz w:val="24"/>
        </w:rPr>
      </w:pPr>
    </w:p>
    <w:p>
      <w:pPr>
        <w:jc w:val="center"/>
        <w:rPr>
          <w:rFonts w:eastAsia="仿宋_GB2312"/>
          <w:b/>
          <w:szCs w:val="28"/>
        </w:rPr>
      </w:pPr>
      <w:r>
        <w:rPr>
          <w:rFonts w:eastAsia="仿宋_GB2312"/>
          <w:b/>
          <w:szCs w:val="28"/>
        </w:rPr>
        <w:t>图</w:t>
      </w:r>
      <w:r>
        <w:rPr>
          <w:rFonts w:hint="eastAsia" w:eastAsia="仿宋_GB2312"/>
          <w:b/>
          <w:szCs w:val="28"/>
        </w:rPr>
        <w:t>2</w:t>
      </w:r>
      <w:r>
        <w:rPr>
          <w:rFonts w:eastAsia="仿宋_GB2312"/>
          <w:b/>
          <w:szCs w:val="28"/>
        </w:rPr>
        <w:t>.</w:t>
      </w:r>
      <w:r>
        <w:rPr>
          <w:rFonts w:hint="eastAsia" w:eastAsia="仿宋_GB2312"/>
          <w:b/>
          <w:szCs w:val="28"/>
        </w:rPr>
        <w:t>3</w:t>
      </w:r>
      <w:r>
        <w:rPr>
          <w:rFonts w:eastAsia="仿宋_GB2312"/>
          <w:b/>
          <w:szCs w:val="28"/>
        </w:rPr>
        <w:t>-1 项目水平衡图（t/a）</w:t>
      </w:r>
    </w:p>
    <w:p>
      <w:pPr>
        <w:pStyle w:val="3"/>
        <w:tabs>
          <w:tab w:val="left" w:pos="360"/>
          <w:tab w:val="left" w:pos="840"/>
        </w:tabs>
        <w:spacing w:before="0" w:after="0" w:line="360" w:lineRule="auto"/>
        <w:rPr>
          <w:rFonts w:ascii="Times New Roman" w:hAnsi="Times New Roman" w:eastAsia="宋体"/>
          <w:b/>
          <w:sz w:val="28"/>
          <w:szCs w:val="28"/>
        </w:rPr>
      </w:pPr>
      <w:bookmarkStart w:id="95" w:name="_Toc319912623"/>
      <w:bookmarkStart w:id="96" w:name="_Toc433723069"/>
      <w:bookmarkStart w:id="97" w:name="_Toc435690402"/>
      <w:r>
        <w:rPr>
          <w:rFonts w:hint="eastAsia" w:ascii="Times New Roman" w:hAnsi="Times New Roman" w:eastAsia="宋体"/>
          <w:b/>
          <w:sz w:val="28"/>
          <w:szCs w:val="28"/>
        </w:rPr>
        <w:t>2.4</w:t>
      </w:r>
      <w:r>
        <w:rPr>
          <w:rFonts w:ascii="Times New Roman" w:hAnsi="Times New Roman" w:eastAsia="宋体"/>
          <w:b/>
          <w:sz w:val="28"/>
          <w:szCs w:val="28"/>
        </w:rPr>
        <w:t>作业流程及能源消耗</w:t>
      </w:r>
      <w:bookmarkEnd w:id="95"/>
      <w:bookmarkEnd w:id="96"/>
      <w:bookmarkEnd w:id="97"/>
    </w:p>
    <w:p>
      <w:pPr>
        <w:pStyle w:val="4"/>
        <w:adjustRightInd w:val="0"/>
        <w:snapToGrid w:val="0"/>
        <w:spacing w:before="0" w:after="0" w:line="360" w:lineRule="auto"/>
        <w:rPr>
          <w:bCs w:val="0"/>
          <w:sz w:val="24"/>
          <w:szCs w:val="24"/>
        </w:rPr>
      </w:pPr>
      <w:bookmarkStart w:id="98" w:name="_Toc435690403"/>
      <w:r>
        <w:rPr>
          <w:rFonts w:hint="eastAsia"/>
          <w:bCs w:val="0"/>
          <w:sz w:val="24"/>
          <w:szCs w:val="24"/>
        </w:rPr>
        <w:t>2.4.1</w:t>
      </w:r>
      <w:r>
        <w:rPr>
          <w:bCs w:val="0"/>
          <w:sz w:val="24"/>
          <w:szCs w:val="24"/>
        </w:rPr>
        <w:t>项目运营作业流程</w:t>
      </w:r>
      <w:bookmarkEnd w:id="98"/>
    </w:p>
    <w:p>
      <w:pPr>
        <w:ind w:firstLine="480" w:firstLineChars="200"/>
        <w:rPr>
          <w:sz w:val="24"/>
        </w:rPr>
      </w:pPr>
      <w:r>
        <w:rPr>
          <w:sz w:val="24"/>
        </w:rPr>
        <w:t>本项目作业流程及产污环节示意图详见图</w:t>
      </w:r>
      <w:r>
        <w:rPr>
          <w:rFonts w:hint="eastAsia"/>
          <w:sz w:val="24"/>
        </w:rPr>
        <w:t>2.</w:t>
      </w:r>
      <w:r>
        <w:rPr>
          <w:sz w:val="24"/>
        </w:rPr>
        <w:t>4-1。</w:t>
      </w:r>
    </w:p>
    <w:p>
      <w:pPr>
        <w:jc w:val="center"/>
        <w:rPr>
          <w:sz w:val="24"/>
        </w:rPr>
      </w:pPr>
      <w:r>
        <w:object>
          <v:shape id="_x0000_i1026" o:spt="75" type="#_x0000_t75" style="height:297.75pt;width:337.45pt;" o:ole="t" filled="f" o:preferrelative="t" stroked="f" coordsize="21600,21600">
            <v:path/>
            <v:fill on="f" alignshape="1" focussize="0,0"/>
            <v:stroke on="f"/>
            <v:imagedata r:id="rId10" grayscale="f" bilevel="f" o:title=""/>
            <o:lock v:ext="edit" aspectratio="t"/>
            <w10:wrap type="none"/>
            <w10:anchorlock/>
          </v:shape>
          <o:OLEObject Type="Embed" ProgID="Visio.Drawing.11" ShapeID="_x0000_i1026" DrawAspect="Content" ObjectID="_1468075726" r:id="rId9"/>
        </w:object>
      </w:r>
    </w:p>
    <w:p>
      <w:pPr>
        <w:jc w:val="center"/>
        <w:rPr>
          <w:b/>
          <w:sz w:val="24"/>
        </w:rPr>
      </w:pPr>
      <w:r>
        <w:rPr>
          <w:rFonts w:eastAsia="仿宋_GB2312"/>
          <w:b/>
          <w:szCs w:val="28"/>
        </w:rPr>
        <w:t>图</w:t>
      </w:r>
      <w:r>
        <w:rPr>
          <w:rFonts w:hint="eastAsia" w:eastAsia="仿宋_GB2312"/>
          <w:b/>
          <w:szCs w:val="28"/>
        </w:rPr>
        <w:t>2.4</w:t>
      </w:r>
      <w:r>
        <w:rPr>
          <w:rFonts w:eastAsia="仿宋_GB2312"/>
          <w:b/>
          <w:szCs w:val="28"/>
        </w:rPr>
        <w:t>-1  作业流程及产污环节示意图</w:t>
      </w:r>
    </w:p>
    <w:p>
      <w:pPr>
        <w:adjustRightInd w:val="0"/>
        <w:snapToGrid w:val="0"/>
        <w:spacing w:line="360" w:lineRule="auto"/>
        <w:ind w:firstLine="480" w:firstLineChars="200"/>
        <w:rPr>
          <w:sz w:val="24"/>
        </w:rPr>
      </w:pPr>
      <w:r>
        <w:rPr>
          <w:sz w:val="24"/>
        </w:rPr>
        <w:t>作业流程介绍：</w:t>
      </w:r>
    </w:p>
    <w:p>
      <w:pPr>
        <w:spacing w:line="360" w:lineRule="auto"/>
        <w:ind w:firstLine="480"/>
        <w:rPr>
          <w:rFonts w:hint="eastAsia"/>
          <w:color w:val="000000"/>
          <w:sz w:val="24"/>
        </w:rPr>
      </w:pPr>
      <w:r>
        <w:rPr>
          <w:color w:val="000000"/>
          <w:sz w:val="24"/>
        </w:rPr>
        <w:t>本项目结合现代物流发展趋势</w:t>
      </w:r>
      <w:r>
        <w:rPr>
          <w:rFonts w:hint="eastAsia"/>
          <w:color w:val="000000"/>
          <w:sz w:val="24"/>
        </w:rPr>
        <w:t>，</w:t>
      </w:r>
      <w:r>
        <w:rPr>
          <w:color w:val="000000"/>
          <w:sz w:val="24"/>
        </w:rPr>
        <w:t>拟以</w:t>
      </w:r>
      <w:r>
        <w:rPr>
          <w:sz w:val="24"/>
        </w:rPr>
        <w:t>服装鞋帽、婴儿用品、食品、化妆品、汽车用品、珠宝、书籍、乐器</w:t>
      </w:r>
      <w:r>
        <w:rPr>
          <w:color w:val="000000"/>
          <w:sz w:val="24"/>
        </w:rPr>
        <w:t>等为服务品类，以上游的产品生产基地、生产大户，下游的超级市场、大型综合超市、便利店、电子购物网站、农贸超市，以及机关企事业单位等终端消费群为服务对象，建成以百货商品交易、配送、仓储为基础的物流配送中心的信息服务中心。本项目主要作业与运营流程包括仓储打包、检验检测、配送服务。</w:t>
      </w:r>
    </w:p>
    <w:p>
      <w:pPr>
        <w:spacing w:line="360" w:lineRule="auto"/>
        <w:ind w:firstLine="480"/>
        <w:rPr>
          <w:rFonts w:hint="eastAsia"/>
          <w:color w:val="000000"/>
          <w:sz w:val="24"/>
        </w:rPr>
      </w:pPr>
      <w:r>
        <w:rPr>
          <w:color w:val="000000"/>
          <w:sz w:val="24"/>
        </w:rPr>
        <w:t>项目</w:t>
      </w:r>
      <w:r>
        <w:rPr>
          <w:rFonts w:hint="eastAsia"/>
          <w:color w:val="000000"/>
          <w:sz w:val="24"/>
        </w:rPr>
        <w:t>地块北部及</w:t>
      </w:r>
      <w:r>
        <w:rPr>
          <w:color w:val="000000"/>
          <w:sz w:val="24"/>
        </w:rPr>
        <w:t>西南侧</w:t>
      </w:r>
      <w:r>
        <w:rPr>
          <w:rFonts w:hint="eastAsia"/>
          <w:color w:val="000000"/>
          <w:sz w:val="24"/>
        </w:rPr>
        <w:t>为</w:t>
      </w:r>
      <w:r>
        <w:rPr>
          <w:color w:val="000000"/>
          <w:sz w:val="24"/>
        </w:rPr>
        <w:t>研发</w:t>
      </w:r>
      <w:r>
        <w:rPr>
          <w:rFonts w:hint="eastAsia"/>
          <w:color w:val="000000"/>
          <w:sz w:val="24"/>
        </w:rPr>
        <w:t>办公</w:t>
      </w:r>
      <w:r>
        <w:rPr>
          <w:color w:val="000000"/>
          <w:sz w:val="24"/>
        </w:rPr>
        <w:t>区，主要进行物流交易、配送、仓储等专业软件系统研发，该部分主要</w:t>
      </w:r>
      <w:r>
        <w:rPr>
          <w:rFonts w:hint="eastAsia"/>
          <w:color w:val="000000"/>
          <w:sz w:val="24"/>
        </w:rPr>
        <w:t>功能</w:t>
      </w:r>
      <w:r>
        <w:rPr>
          <w:color w:val="000000"/>
          <w:sz w:val="24"/>
        </w:rPr>
        <w:t>为办公研发</w:t>
      </w:r>
      <w:r>
        <w:rPr>
          <w:rFonts w:hint="eastAsia"/>
          <w:color w:val="000000"/>
          <w:sz w:val="24"/>
        </w:rPr>
        <w:t>、数据中心、维修及资料库</w:t>
      </w:r>
      <w:r>
        <w:rPr>
          <w:color w:val="000000"/>
          <w:sz w:val="24"/>
        </w:rPr>
        <w:t>，</w:t>
      </w:r>
      <w:r>
        <w:rPr>
          <w:rFonts w:hint="eastAsia"/>
          <w:color w:val="000000"/>
          <w:sz w:val="24"/>
        </w:rPr>
        <w:t>以云服务为构架，打造专业协同型供应链，建立资源共享型管理模式，创建功能复合型服务集成的物流信息技术服务平台。</w:t>
      </w:r>
    </w:p>
    <w:p>
      <w:pPr>
        <w:spacing w:line="360" w:lineRule="auto"/>
        <w:ind w:firstLine="480"/>
        <w:rPr>
          <w:color w:val="000000"/>
          <w:sz w:val="24"/>
        </w:rPr>
      </w:pPr>
      <w:r>
        <w:rPr>
          <w:rFonts w:hint="eastAsia"/>
          <w:color w:val="000000"/>
          <w:sz w:val="24"/>
        </w:rPr>
        <w:t>具体研发方向及流程可以描述为：以LES系统、运输监控平台为基础，融合WMS\TMS\GPS\RFID\GIS等信息技术，实现物流全流程信息化的管理。</w:t>
      </w:r>
    </w:p>
    <w:p>
      <w:pPr>
        <w:spacing w:line="360" w:lineRule="auto"/>
        <w:ind w:firstLine="480"/>
        <w:rPr>
          <w:color w:val="000000"/>
          <w:sz w:val="24"/>
        </w:rPr>
      </w:pPr>
      <w:r>
        <w:rPr>
          <w:rFonts w:hint="eastAsia" w:ascii="宋体" w:hAnsi="宋体"/>
          <w:color w:val="000000"/>
          <w:sz w:val="24"/>
        </w:rPr>
        <w:t>①</w:t>
      </w:r>
      <w:r>
        <w:rPr>
          <w:rFonts w:hint="eastAsia"/>
          <w:color w:val="000000"/>
          <w:sz w:val="24"/>
        </w:rPr>
        <w:t>以LES系统为核心的物流基础信息平台包含订单管理、仓库管理、运输管理和财务管理四大模块，从物流订单的承接到财务结算，形成一个完整的闭环管理链条。仓库管理模块基于WMS系统，对商品到货预约、收货、上架、拣选、包装、装运交接、库存盘点、不良品管理、单品管理、门店仓库管理进行详细分析和规划；运输管理模块包括运力分析、任务管理、车辆调度、干线管理、“最后一公里”、承运商管理、销单管理、事件管理等；订单和财务管理将制定完整的服务定价模型和财务核算模型，为客户提供值得信赖的服务产品价格，为决策层提供可参考的物流成本控制方案。</w:t>
      </w:r>
    </w:p>
    <w:p>
      <w:pPr>
        <w:spacing w:line="360" w:lineRule="auto"/>
        <w:ind w:firstLine="480"/>
        <w:rPr>
          <w:color w:val="000000"/>
          <w:sz w:val="24"/>
        </w:rPr>
      </w:pPr>
      <w:r>
        <w:rPr>
          <w:rFonts w:hint="eastAsia" w:ascii="宋体" w:hAnsi="宋体"/>
          <w:color w:val="000000"/>
          <w:sz w:val="24"/>
        </w:rPr>
        <w:t>②研发</w:t>
      </w:r>
      <w:r>
        <w:rPr>
          <w:rFonts w:hint="eastAsia"/>
          <w:color w:val="000000"/>
          <w:sz w:val="24"/>
        </w:rPr>
        <w:t>运输监控平台将集成车载</w:t>
      </w:r>
      <w:r>
        <w:rPr>
          <w:color w:val="000000"/>
          <w:sz w:val="24"/>
        </w:rPr>
        <w:t>GPS</w:t>
      </w:r>
      <w:r>
        <w:rPr>
          <w:rFonts w:hint="eastAsia"/>
          <w:color w:val="000000"/>
          <w:sz w:val="24"/>
        </w:rPr>
        <w:t>、</w:t>
      </w:r>
      <w:r>
        <w:rPr>
          <w:color w:val="000000"/>
          <w:sz w:val="24"/>
        </w:rPr>
        <w:t>GIS</w:t>
      </w:r>
      <w:r>
        <w:rPr>
          <w:rFonts w:hint="eastAsia"/>
          <w:color w:val="000000"/>
          <w:sz w:val="24"/>
        </w:rPr>
        <w:t>地图引擎等工具，实现对物流运输环节的全过程监控以及运输作业的准时化管理。除此之外，运输监控平台还规划了作业报表、车辆油耗监控、决策建议等功能。</w:t>
      </w:r>
    </w:p>
    <w:p>
      <w:pPr>
        <w:spacing w:line="360" w:lineRule="auto"/>
        <w:ind w:firstLine="480"/>
        <w:rPr>
          <w:rFonts w:ascii="宋体" w:hAnsi="宋体"/>
          <w:color w:val="000000"/>
          <w:sz w:val="24"/>
        </w:rPr>
      </w:pPr>
      <w:r>
        <w:rPr>
          <w:rFonts w:hint="eastAsia" w:ascii="宋体" w:hAnsi="宋体"/>
          <w:color w:val="000000"/>
          <w:sz w:val="24"/>
        </w:rPr>
        <w:t>本项目物流信息技术平台将面向供应链上下游和社会客户全面开放，提供专业化的信息服务，使苏宁物流的运作全程可视化、智能化、交互化，成为城市共同配送的公共信息服务平台。同时承担城市配送中心、区域配送中心及B2C配送中心的功能。辐射全国范围内的干线调拨、江苏省境内二、三级市场长途调拨业务及南京门店短拨、同城零售配送各和快递等业务，同时也将承担起网购小件商品的集中存储与全国调拨功能。</w:t>
      </w:r>
    </w:p>
    <w:p>
      <w:pPr>
        <w:adjustRightInd w:val="0"/>
        <w:snapToGrid w:val="0"/>
        <w:spacing w:line="360" w:lineRule="auto"/>
        <w:ind w:firstLine="480" w:firstLineChars="200"/>
        <w:rPr>
          <w:rFonts w:hint="eastAsia"/>
          <w:sz w:val="24"/>
        </w:rPr>
      </w:pPr>
      <w:r>
        <w:rPr>
          <w:rFonts w:hint="eastAsia" w:ascii="宋体" w:hAnsi="宋体"/>
          <w:color w:val="000000"/>
          <w:sz w:val="24"/>
        </w:rPr>
        <w:t>本项目研发办公</w:t>
      </w:r>
      <w:r>
        <w:rPr>
          <w:color w:val="000000"/>
          <w:sz w:val="24"/>
        </w:rPr>
        <w:t>无生产工艺流程</w:t>
      </w:r>
      <w:r>
        <w:rPr>
          <w:rFonts w:hint="eastAsia"/>
          <w:color w:val="000000"/>
          <w:sz w:val="24"/>
        </w:rPr>
        <w:t>，研发设备以台式电脑、打印机等办公设备为主，不设置食堂</w:t>
      </w:r>
      <w:r>
        <w:rPr>
          <w:color w:val="000000"/>
          <w:sz w:val="24"/>
        </w:rPr>
        <w:t>。</w:t>
      </w:r>
    </w:p>
    <w:p>
      <w:pPr>
        <w:spacing w:line="360" w:lineRule="auto"/>
        <w:ind w:firstLine="480" w:firstLineChars="200"/>
        <w:rPr>
          <w:color w:val="000000"/>
          <w:sz w:val="24"/>
        </w:rPr>
      </w:pPr>
      <w:r>
        <w:rPr>
          <w:color w:val="000000"/>
          <w:sz w:val="24"/>
        </w:rPr>
        <w:t>（1）仓储</w:t>
      </w:r>
    </w:p>
    <w:p>
      <w:pPr>
        <w:spacing w:line="360" w:lineRule="auto"/>
        <w:ind w:firstLine="480" w:firstLineChars="200"/>
        <w:rPr>
          <w:color w:val="000000"/>
          <w:sz w:val="24"/>
        </w:rPr>
      </w:pPr>
      <w:r>
        <w:rPr>
          <w:color w:val="000000"/>
          <w:sz w:val="24"/>
        </w:rPr>
        <w:t>由项目单位、其他物流配送公司、社会车辆等将商品从供货商及生产基地运抵物流中心，运货车辆进入物流中心停车位行驶时产生汽车尾气G1。本物流中心对货物进行集中调度和管理。本项目不设冷库，</w:t>
      </w:r>
      <w:r>
        <w:rPr>
          <w:rFonts w:hint="eastAsia"/>
          <w:color w:val="000000"/>
          <w:sz w:val="24"/>
        </w:rPr>
        <w:t>2号</w:t>
      </w:r>
      <w:r>
        <w:rPr>
          <w:color w:val="000000"/>
          <w:sz w:val="24"/>
        </w:rPr>
        <w:t>仓库</w:t>
      </w:r>
      <w:r>
        <w:rPr>
          <w:rFonts w:hint="eastAsia"/>
          <w:color w:val="000000"/>
          <w:sz w:val="24"/>
        </w:rPr>
        <w:t>设有5000m</w:t>
      </w:r>
      <w:r>
        <w:rPr>
          <w:rFonts w:hint="eastAsia"/>
          <w:color w:val="000000"/>
          <w:sz w:val="24"/>
          <w:vertAlign w:val="superscript"/>
        </w:rPr>
        <w:t>2</w:t>
      </w:r>
      <w:r>
        <w:rPr>
          <w:rFonts w:hint="eastAsia"/>
          <w:color w:val="000000"/>
          <w:sz w:val="24"/>
        </w:rPr>
        <w:t>的恒温库（温度保持在15~25</w:t>
      </w:r>
      <w:r>
        <w:rPr>
          <w:rFonts w:hint="eastAsia" w:ascii="宋体" w:hAnsi="宋体" w:cs="宋体"/>
          <w:color w:val="000000"/>
          <w:sz w:val="24"/>
        </w:rPr>
        <w:t>℃</w:t>
      </w:r>
      <w:r>
        <w:rPr>
          <w:rFonts w:hint="eastAsia"/>
          <w:color w:val="000000"/>
          <w:sz w:val="24"/>
        </w:rPr>
        <w:t>），</w:t>
      </w:r>
      <w:r>
        <w:rPr>
          <w:color w:val="000000"/>
          <w:sz w:val="24"/>
        </w:rPr>
        <w:t>采取中央空调</w:t>
      </w:r>
      <w:r>
        <w:rPr>
          <w:rFonts w:hint="eastAsia"/>
          <w:color w:val="000000"/>
          <w:sz w:val="24"/>
        </w:rPr>
        <w:t>保持温度</w:t>
      </w:r>
      <w:r>
        <w:rPr>
          <w:color w:val="000000"/>
          <w:sz w:val="24"/>
        </w:rPr>
        <w:t>，不使用制冷剂。</w:t>
      </w:r>
    </w:p>
    <w:p>
      <w:pPr>
        <w:spacing w:line="360" w:lineRule="auto"/>
        <w:ind w:firstLine="480" w:firstLineChars="200"/>
        <w:rPr>
          <w:color w:val="000000"/>
          <w:sz w:val="24"/>
        </w:rPr>
      </w:pPr>
      <w:r>
        <w:rPr>
          <w:color w:val="000000"/>
          <w:sz w:val="24"/>
        </w:rPr>
        <w:t>根据产品配送需要，部分商品需要进行分包加工，本项目分包加工不涉及初加工和清洗，主要根据配送服务对象需求，将运抵到场的商品分装成相应重量的货物或者集中装箱、装袋，此过程将产生一定量废包装S1。</w:t>
      </w:r>
    </w:p>
    <w:p>
      <w:pPr>
        <w:spacing w:line="360" w:lineRule="auto"/>
        <w:ind w:firstLine="480" w:firstLineChars="200"/>
        <w:rPr>
          <w:color w:val="000000"/>
          <w:sz w:val="24"/>
        </w:rPr>
      </w:pPr>
      <w:r>
        <w:rPr>
          <w:color w:val="000000"/>
          <w:sz w:val="24"/>
        </w:rPr>
        <w:t>（2）配送服务</w:t>
      </w:r>
    </w:p>
    <w:p>
      <w:pPr>
        <w:spacing w:line="360" w:lineRule="auto"/>
        <w:ind w:firstLine="480" w:firstLineChars="200"/>
        <w:rPr>
          <w:rFonts w:hint="eastAsia"/>
          <w:color w:val="000000"/>
          <w:sz w:val="24"/>
        </w:rPr>
      </w:pPr>
      <w:r>
        <w:rPr>
          <w:color w:val="000000"/>
          <w:sz w:val="24"/>
        </w:rPr>
        <w:t>本项目信息中心根据订单，安排配送作业，将商品送达客户或公共货运中心。根据95万吨的预计配送量，收货车辆以采购入库190辆/天；中转、调拨、退货入库64辆/天；快递入库160辆/天计，发货车辆按本市配送235辆/天、外市配送170辆/天计。本项目物流配送力量将由项目单位、其他物流配送公司、社会车辆等组成。配送车辆驶离停车位怠速行驶时产生汽车尾气G2。</w:t>
      </w:r>
    </w:p>
    <w:p>
      <w:pPr>
        <w:spacing w:line="360" w:lineRule="auto"/>
        <w:ind w:firstLine="540" w:firstLineChars="225"/>
        <w:rPr>
          <w:sz w:val="24"/>
        </w:rPr>
      </w:pPr>
      <w:r>
        <w:rPr>
          <w:rFonts w:hint="eastAsia"/>
          <w:sz w:val="24"/>
        </w:rPr>
        <w:t>本项目物流仓储采用了诸多货物分拣自动化等先进理念：首先，借助SCS旋转库货到人的拣选方式，使得的拣选效率实现了飞跃，是传统拣选方式的10倍以上；其次，自动化设备包括SCS BUFFER以及交叉带分拣机的运用，简化了装车前的集货等待环节，可实现装车前的自动排序，从而节省了大量装车时间；最后，借助于库内自动化设备包括SCS旋转货架、A字架、KDR流利式货架、Miniload料箱自动高架库以及ASRS自动高架库的能力，从库内出来的料箱是以最终的快递点进行装箱打包，减少了配送中间环节的二次分拨，极大提高了物流网络运行时效，同时，由于中间环节的减少，也降低了货损率、差错率的发生。各类自动化设备的运用，将会极大缩短库内订单周转时间，预计从拣配任务下方到可以进行装车发货时间将会缩短到平均40min，最大不超过2小时，使得仓库能够更加快速响应客户需求。</w:t>
      </w:r>
    </w:p>
    <w:p>
      <w:pPr>
        <w:spacing w:line="360" w:lineRule="auto"/>
        <w:ind w:firstLine="540" w:firstLineChars="225"/>
        <w:rPr>
          <w:sz w:val="24"/>
        </w:rPr>
      </w:pPr>
      <w:r>
        <w:rPr>
          <w:rFonts w:hint="eastAsia"/>
          <w:sz w:val="24"/>
        </w:rPr>
        <w:t>1、SCS旋转库系统</w:t>
      </w:r>
    </w:p>
    <w:p>
      <w:pPr>
        <w:spacing w:line="360" w:lineRule="auto"/>
        <w:ind w:firstLine="540" w:firstLineChars="225"/>
        <w:rPr>
          <w:sz w:val="24"/>
        </w:rPr>
      </w:pPr>
      <w:r>
        <w:rPr>
          <w:rFonts w:hint="eastAsia"/>
          <w:sz w:val="24"/>
        </w:rPr>
        <w:t>SCS 是一种高度动态而且完全自动仓储系统，带有分离的自动储存和取回装置。首先，通过SCS旋转货架作为库内存拣设备，能够达到每个单体250箱/小时的出入库效率，配合货到人拣选工作站，实现高效拣选。SCS 可以提供非常高的储存密度，几乎能够处理所有类型的物品；其次，SCS货架配合供应商先进的WCS控制系统，能够实现对产品的自动追踪、监控，并对产品进行排序，具有相同属性的产品，系统会自动排序并集中存储，需要时系统会自动控制这一批货物同时从SCS内出库，利用SCS的这个特性，本项目在发货端利用SCS buffer进行自动排序、缓存，从而简化装车前的等待以及人工分货，节省大量的装车时间。利用SCS系统可以实现高达每天 28万次出入库。在拣选效率方面可以达到14,000次拣选／小时的能力。</w:t>
      </w:r>
    </w:p>
    <w:p>
      <w:pPr>
        <w:spacing w:line="360" w:lineRule="auto"/>
        <w:ind w:firstLine="540" w:firstLineChars="225"/>
        <w:rPr>
          <w:sz w:val="24"/>
        </w:rPr>
      </w:pPr>
      <w:bookmarkStart w:id="99" w:name="_Toc362535918"/>
      <w:bookmarkStart w:id="100" w:name="_Toc362611002"/>
      <w:r>
        <w:rPr>
          <w:rFonts w:hint="eastAsia"/>
          <w:sz w:val="24"/>
        </w:rPr>
        <w:t>2、自动托盘堆垛</w:t>
      </w:r>
      <w:bookmarkEnd w:id="99"/>
      <w:bookmarkEnd w:id="100"/>
      <w:r>
        <w:rPr>
          <w:rFonts w:hint="eastAsia"/>
          <w:sz w:val="24"/>
        </w:rPr>
        <w:t>系统</w:t>
      </w:r>
    </w:p>
    <w:p>
      <w:pPr>
        <w:spacing w:line="360" w:lineRule="auto"/>
        <w:ind w:firstLine="540" w:firstLineChars="225"/>
        <w:rPr>
          <w:sz w:val="24"/>
        </w:rPr>
      </w:pPr>
      <w:r>
        <w:rPr>
          <w:rFonts w:hint="eastAsia"/>
          <w:sz w:val="24"/>
        </w:rPr>
        <w:t xml:space="preserve">托盘堆垛机是专为存取完整的装载单元而设计的，技术能力最大为每小时出入库各100个托盘。。通过每一个设施适合的负载处理单元来进行存取。本项目利用高架库的高密度存储特性，作为中件整拖以及小件大批量商品的主要存储系统，配合先进的wcs控制系统，利用自动堆垛机进行托盘出入库操作，从而实现整托盘、大批量商品的自动化存储、出库以及商品管理，具有高可靠性、高灵活性、最短的运送和完成时间表、节能、高效的空间利用率的特点。 </w:t>
      </w:r>
    </w:p>
    <w:p>
      <w:pPr>
        <w:spacing w:line="360" w:lineRule="auto"/>
        <w:ind w:firstLine="540" w:firstLineChars="225"/>
        <w:rPr>
          <w:sz w:val="24"/>
        </w:rPr>
      </w:pPr>
      <w:bookmarkStart w:id="101" w:name="_Toc362535919"/>
      <w:bookmarkStart w:id="102" w:name="_Toc362611003"/>
      <w:r>
        <w:rPr>
          <w:rFonts w:hint="eastAsia"/>
          <w:sz w:val="24"/>
        </w:rPr>
        <w:t>3、Miniload高密度自动箱式堆垛机</w:t>
      </w:r>
      <w:bookmarkEnd w:id="101"/>
      <w:bookmarkEnd w:id="102"/>
    </w:p>
    <w:p>
      <w:pPr>
        <w:spacing w:line="360" w:lineRule="auto"/>
        <w:ind w:firstLine="540" w:firstLineChars="225"/>
        <w:rPr>
          <w:sz w:val="24"/>
        </w:rPr>
      </w:pPr>
      <w:r>
        <w:rPr>
          <w:rFonts w:hint="eastAsia"/>
          <w:sz w:val="24"/>
        </w:rPr>
        <w:t>Miniload自动堆垛机系统的是为存取周转箱和硬纸箱而设计的。这个设备在一个地板轨道上移动，由一个有间距带的可靠的 Omega 驱动器来驱动，最后通过一个附在货架顶部区域的轨道进行引导。该区域的堆垛机存取操作主要通过一个感应装置或抓和攥推装置来实现。</w:t>
      </w:r>
    </w:p>
    <w:p>
      <w:pPr>
        <w:spacing w:line="360" w:lineRule="auto"/>
        <w:ind w:firstLine="540" w:firstLineChars="225"/>
        <w:rPr>
          <w:sz w:val="24"/>
        </w:rPr>
      </w:pPr>
      <w:r>
        <w:rPr>
          <w:rFonts w:hint="eastAsia"/>
          <w:sz w:val="24"/>
        </w:rPr>
        <w:t>类似AS/RS自动托盘堆垛系统，Miniload自动箱式堆垛系统也是一个高密度自动存储系统，主要用于小件料箱和硬纸箱的存储、补货。配合WCS控制系统，实现Miniload系统内商品的自动化存取，整个系统不需要人工操作，完全由系统进行控制，极大的降低了人工成本且减少商品出错率。</w:t>
      </w:r>
    </w:p>
    <w:p>
      <w:pPr>
        <w:spacing w:line="360" w:lineRule="auto"/>
        <w:ind w:firstLine="540" w:firstLineChars="225"/>
        <w:rPr>
          <w:sz w:val="24"/>
        </w:rPr>
      </w:pPr>
      <w:r>
        <w:rPr>
          <w:rFonts w:hint="eastAsia"/>
          <w:sz w:val="24"/>
        </w:rPr>
        <w:t>南京二期第一阶段包括12台自动化化箱式堆垛机系统，338400个料箱存储位，整个货架高22m，能够实现最大出入库各1700箱/小时，能够实现每天45万件商品的补货出库功能。</w:t>
      </w:r>
    </w:p>
    <w:p>
      <w:pPr>
        <w:spacing w:line="360" w:lineRule="auto"/>
        <w:ind w:firstLine="540" w:firstLineChars="225"/>
        <w:rPr>
          <w:sz w:val="24"/>
        </w:rPr>
      </w:pPr>
      <w:bookmarkStart w:id="103" w:name="_Toc362535921"/>
      <w:bookmarkStart w:id="104" w:name="_Toc362611005"/>
      <w:r>
        <w:rPr>
          <w:rFonts w:hint="eastAsia"/>
          <w:sz w:val="24"/>
        </w:rPr>
        <w:t>4、A-frame自动拣选设备</w:t>
      </w:r>
      <w:bookmarkEnd w:id="103"/>
      <w:bookmarkEnd w:id="104"/>
    </w:p>
    <w:p>
      <w:pPr>
        <w:spacing w:line="360" w:lineRule="auto"/>
        <w:ind w:firstLine="540" w:firstLineChars="225"/>
        <w:rPr>
          <w:sz w:val="24"/>
        </w:rPr>
      </w:pPr>
      <w:r>
        <w:rPr>
          <w:rFonts w:hint="eastAsia"/>
          <w:sz w:val="24"/>
        </w:rPr>
        <w:t>A-frame是一种自动拣货系统，具有高速的物品处理能力（每小时能够拣选1600箱小件商品）。A-frame设有通道，通道安装在收集皮带的左侧和右侧，A-frame通道采用串行控制，即每层（左侧或右侧）只有一个分配器可以在一次操作中被激活。当需分配产品时，相应的通道将被激活，从而使产品掉落到集料皮带上。本项目内A-frame会配置两个自动化填充点，集料皮带上的产品会自动输送到填充点位置预先自动补给好的带订单周转箱，并掉落到料箱内，料箱自动输送到其它区域进行下一步处理。</w:t>
      </w:r>
    </w:p>
    <w:p>
      <w:pPr>
        <w:spacing w:line="360" w:lineRule="auto"/>
        <w:ind w:firstLine="540" w:firstLineChars="225"/>
        <w:rPr>
          <w:sz w:val="24"/>
        </w:rPr>
      </w:pPr>
      <w:r>
        <w:rPr>
          <w:rFonts w:hint="eastAsia"/>
          <w:sz w:val="24"/>
        </w:rPr>
        <w:t>A-frame的整个过程为自动化系统控制处理，由于消除了耗时的人工拣选活动从而获得高收益，并且持续的高质量和可靠性使得它即使在峰值时也能确保高产量，另外由于A-frame货架高产品密度存储从而获得了高效的利用空间。</w:t>
      </w:r>
    </w:p>
    <w:p>
      <w:pPr>
        <w:spacing w:line="360" w:lineRule="auto"/>
        <w:ind w:firstLine="540" w:firstLineChars="225"/>
        <w:rPr>
          <w:sz w:val="24"/>
        </w:rPr>
      </w:pPr>
      <w:r>
        <w:rPr>
          <w:rFonts w:hint="eastAsia"/>
          <w:sz w:val="24"/>
        </w:rPr>
        <w:t>5、自动交叉带分拣机</w:t>
      </w:r>
    </w:p>
    <w:p>
      <w:pPr>
        <w:adjustRightInd w:val="0"/>
        <w:snapToGrid w:val="0"/>
        <w:spacing w:line="360" w:lineRule="auto"/>
        <w:ind w:firstLine="480" w:firstLineChars="200"/>
        <w:rPr>
          <w:sz w:val="24"/>
        </w:rPr>
      </w:pPr>
      <w:r>
        <w:rPr>
          <w:rFonts w:hint="eastAsia"/>
          <w:sz w:val="24"/>
        </w:rPr>
        <w:t>本项目配备了两套自动化交叉带分拣设备，分别为包裹分拣机和发货分拣机。首先，包裹分拣机用于快递包裹以及做好顾客包裹的小件拆零产品的分拣。通过12个人工供件台，将包裹投放到分拣机上，分拣机自动扫描包裹上条码识别目的地，并自动在相应目的地道口弹出进行运输料箱装箱操作后，通过输送线送到下一个区域进行下一步操作。包裹分拣机能够实现1.8万包裹/小时的分拣能力，整套分拣机配备600个目的地道口，利用分拣机系统取代了传统的人工投快递点操作，极大的降低人工成本并提升了分拣效率；其次，发货分拣机用于做好运输箱的商品按照路线进行分拣。发货分拣机会自动扫描运输箱条码，识别条码目的地城市，并分配到相应的线路道口。本项目发货分拣机能达到1.8万箱/小时的分拣能力，配备了48个目的地道口，实现运输箱的自动分拣，极大的提升了分拣效率。</w:t>
      </w:r>
    </w:p>
    <w:p>
      <w:pPr>
        <w:jc w:val="center"/>
        <w:rPr>
          <w:sz w:val="24"/>
        </w:rPr>
      </w:pPr>
      <w:r>
        <w:rPr>
          <w:sz w:val="24"/>
        </w:rPr>
        <w:drawing>
          <wp:inline distT="0" distB="0" distL="114300" distR="114300">
            <wp:extent cx="1742440" cy="308800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rcRect/>
                    <a:stretch>
                      <a:fillRect/>
                    </a:stretch>
                  </pic:blipFill>
                  <pic:spPr>
                    <a:xfrm>
                      <a:off x="0" y="0"/>
                      <a:ext cx="1742440" cy="3088005"/>
                    </a:xfrm>
                    <a:prstGeom prst="rect">
                      <a:avLst/>
                    </a:prstGeom>
                    <a:noFill/>
                    <a:ln w="9525">
                      <a:noFill/>
                      <a:miter/>
                    </a:ln>
                  </pic:spPr>
                </pic:pic>
              </a:graphicData>
            </a:graphic>
          </wp:inline>
        </w:drawing>
      </w:r>
    </w:p>
    <w:p>
      <w:pPr>
        <w:jc w:val="center"/>
        <w:rPr>
          <w:b/>
          <w:sz w:val="24"/>
        </w:rPr>
      </w:pPr>
      <w:r>
        <w:rPr>
          <w:rFonts w:eastAsia="仿宋_GB2312"/>
          <w:b/>
          <w:szCs w:val="28"/>
        </w:rPr>
        <w:t>图</w:t>
      </w:r>
      <w:r>
        <w:rPr>
          <w:rFonts w:hint="eastAsia" w:eastAsia="仿宋_GB2312"/>
          <w:b/>
          <w:szCs w:val="28"/>
        </w:rPr>
        <w:t>2</w:t>
      </w:r>
      <w:r>
        <w:rPr>
          <w:rFonts w:eastAsia="仿宋_GB2312"/>
          <w:b/>
          <w:szCs w:val="28"/>
        </w:rPr>
        <w:t>.4-</w:t>
      </w:r>
      <w:r>
        <w:rPr>
          <w:rFonts w:hint="eastAsia" w:eastAsia="仿宋_GB2312"/>
          <w:b/>
          <w:szCs w:val="28"/>
        </w:rPr>
        <w:t>2</w:t>
      </w:r>
      <w:r>
        <w:rPr>
          <w:rFonts w:eastAsia="仿宋_GB2312"/>
          <w:b/>
          <w:szCs w:val="28"/>
        </w:rPr>
        <w:t xml:space="preserve"> 配送服务流程图</w:t>
      </w:r>
    </w:p>
    <w:p>
      <w:pPr>
        <w:pStyle w:val="4"/>
        <w:adjustRightInd w:val="0"/>
        <w:snapToGrid w:val="0"/>
        <w:spacing w:before="0" w:after="0" w:line="360" w:lineRule="auto"/>
        <w:rPr>
          <w:bCs w:val="0"/>
          <w:sz w:val="24"/>
          <w:szCs w:val="24"/>
        </w:rPr>
      </w:pPr>
      <w:bookmarkStart w:id="105" w:name="_Toc435690404"/>
      <w:r>
        <w:rPr>
          <w:rFonts w:hint="eastAsia"/>
          <w:bCs w:val="0"/>
          <w:sz w:val="24"/>
          <w:szCs w:val="24"/>
        </w:rPr>
        <w:t>2.4.2</w:t>
      </w:r>
      <w:r>
        <w:rPr>
          <w:bCs w:val="0"/>
          <w:sz w:val="24"/>
          <w:szCs w:val="24"/>
        </w:rPr>
        <w:t>主要能源消耗</w:t>
      </w:r>
      <w:bookmarkEnd w:id="105"/>
    </w:p>
    <w:p>
      <w:pPr>
        <w:ind w:firstLine="480" w:firstLineChars="200"/>
        <w:rPr>
          <w:sz w:val="24"/>
        </w:rPr>
      </w:pPr>
      <w:r>
        <w:rPr>
          <w:sz w:val="24"/>
        </w:rPr>
        <w:t>本项目主要能源消耗见表</w:t>
      </w:r>
      <w:r>
        <w:rPr>
          <w:rFonts w:hint="eastAsia"/>
          <w:sz w:val="24"/>
        </w:rPr>
        <w:t>2</w:t>
      </w:r>
      <w:r>
        <w:rPr>
          <w:sz w:val="24"/>
        </w:rPr>
        <w:t>.4-1。</w:t>
      </w:r>
    </w:p>
    <w:p>
      <w:pPr>
        <w:adjustRightInd w:val="0"/>
        <w:snapToGrid w:val="0"/>
        <w:jc w:val="center"/>
        <w:rPr>
          <w:b/>
        </w:rPr>
      </w:pPr>
      <w:r>
        <w:rPr>
          <w:b/>
        </w:rPr>
        <w:t>表</w:t>
      </w:r>
      <w:r>
        <w:rPr>
          <w:rFonts w:hint="eastAsia"/>
          <w:b/>
        </w:rPr>
        <w:t>2</w:t>
      </w:r>
      <w:r>
        <w:rPr>
          <w:b/>
        </w:rPr>
        <w:t>.4-1  主要能源消耗情况</w:t>
      </w:r>
    </w:p>
    <w:tbl>
      <w:tblPr>
        <w:tblStyle w:val="59"/>
        <w:tblW w:w="8328" w:type="dxa"/>
        <w:jc w:val="center"/>
        <w:tblInd w:w="-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
      <w:tblGrid>
        <w:gridCol w:w="1078"/>
        <w:gridCol w:w="1517"/>
        <w:gridCol w:w="2149"/>
        <w:gridCol w:w="358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Ex>
        <w:trPr>
          <w:trHeight w:val="300" w:hRule="atLeast"/>
          <w:jc w:val="center"/>
        </w:trPr>
        <w:tc>
          <w:tcPr>
            <w:tcW w:w="1078" w:type="dxa"/>
            <w:tcMar>
              <w:top w:w="0" w:type="dxa"/>
              <w:bottom w:w="0" w:type="dxa"/>
            </w:tcMar>
            <w:vAlign w:val="center"/>
          </w:tcPr>
          <w:p>
            <w:pPr>
              <w:spacing w:line="320" w:lineRule="exact"/>
              <w:jc w:val="center"/>
              <w:rPr>
                <w:szCs w:val="21"/>
              </w:rPr>
            </w:pPr>
            <w:r>
              <w:rPr>
                <w:szCs w:val="21"/>
              </w:rPr>
              <w:t>序号</w:t>
            </w:r>
          </w:p>
        </w:tc>
        <w:tc>
          <w:tcPr>
            <w:tcW w:w="1517" w:type="dxa"/>
            <w:tcMar>
              <w:top w:w="0" w:type="dxa"/>
              <w:bottom w:w="0" w:type="dxa"/>
            </w:tcMar>
            <w:vAlign w:val="center"/>
          </w:tcPr>
          <w:p>
            <w:pPr>
              <w:spacing w:line="320" w:lineRule="exact"/>
              <w:jc w:val="center"/>
              <w:rPr>
                <w:szCs w:val="21"/>
              </w:rPr>
            </w:pPr>
            <w:r>
              <w:rPr>
                <w:szCs w:val="21"/>
              </w:rPr>
              <w:t>名称</w:t>
            </w:r>
          </w:p>
        </w:tc>
        <w:tc>
          <w:tcPr>
            <w:tcW w:w="2149" w:type="dxa"/>
            <w:vAlign w:val="center"/>
          </w:tcPr>
          <w:p>
            <w:pPr>
              <w:spacing w:line="320" w:lineRule="exact"/>
              <w:jc w:val="center"/>
              <w:rPr>
                <w:szCs w:val="21"/>
              </w:rPr>
            </w:pPr>
            <w:r>
              <w:rPr>
                <w:szCs w:val="21"/>
              </w:rPr>
              <w:t>年耗量</w:t>
            </w:r>
          </w:p>
        </w:tc>
        <w:tc>
          <w:tcPr>
            <w:tcW w:w="3584" w:type="dxa"/>
            <w:vAlign w:val="top"/>
          </w:tcPr>
          <w:p>
            <w:pPr>
              <w:spacing w:line="320" w:lineRule="exact"/>
              <w:jc w:val="center"/>
              <w:rPr>
                <w:szCs w:val="21"/>
              </w:rPr>
            </w:pPr>
            <w:r>
              <w:rPr>
                <w:szCs w:val="21"/>
              </w:rPr>
              <w:t>来源及运输</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Ex>
        <w:trPr>
          <w:trHeight w:val="220" w:hRule="atLeast"/>
          <w:jc w:val="center"/>
        </w:trPr>
        <w:tc>
          <w:tcPr>
            <w:tcW w:w="1078" w:type="dxa"/>
            <w:tcMar>
              <w:top w:w="0" w:type="dxa"/>
              <w:bottom w:w="0" w:type="dxa"/>
            </w:tcMar>
            <w:vAlign w:val="center"/>
          </w:tcPr>
          <w:p>
            <w:pPr>
              <w:spacing w:line="320" w:lineRule="exact"/>
              <w:jc w:val="center"/>
              <w:rPr>
                <w:szCs w:val="21"/>
              </w:rPr>
            </w:pPr>
            <w:r>
              <w:rPr>
                <w:szCs w:val="21"/>
              </w:rPr>
              <w:t>1</w:t>
            </w:r>
          </w:p>
        </w:tc>
        <w:tc>
          <w:tcPr>
            <w:tcW w:w="1517" w:type="dxa"/>
            <w:tcMar>
              <w:top w:w="0" w:type="dxa"/>
              <w:bottom w:w="0" w:type="dxa"/>
            </w:tcMar>
            <w:vAlign w:val="center"/>
          </w:tcPr>
          <w:p>
            <w:pPr>
              <w:spacing w:line="320" w:lineRule="exact"/>
              <w:jc w:val="center"/>
              <w:rPr>
                <w:szCs w:val="21"/>
              </w:rPr>
            </w:pPr>
            <w:r>
              <w:rPr>
                <w:szCs w:val="21"/>
              </w:rPr>
              <w:t>自来水</w:t>
            </w:r>
          </w:p>
        </w:tc>
        <w:tc>
          <w:tcPr>
            <w:tcW w:w="2149" w:type="dxa"/>
            <w:vAlign w:val="center"/>
          </w:tcPr>
          <w:p>
            <w:pPr>
              <w:spacing w:line="320" w:lineRule="exact"/>
              <w:jc w:val="center"/>
              <w:rPr>
                <w:szCs w:val="21"/>
              </w:rPr>
            </w:pPr>
            <w:r>
              <w:rPr>
                <w:rFonts w:hint="eastAsia"/>
                <w:szCs w:val="21"/>
              </w:rPr>
              <w:t>60935</w:t>
            </w:r>
            <w:r>
              <w:rPr>
                <w:szCs w:val="21"/>
              </w:rPr>
              <w:t>t/a</w:t>
            </w:r>
          </w:p>
        </w:tc>
        <w:tc>
          <w:tcPr>
            <w:tcW w:w="3584" w:type="dxa"/>
            <w:vAlign w:val="center"/>
          </w:tcPr>
          <w:p>
            <w:pPr>
              <w:spacing w:line="320" w:lineRule="exact"/>
              <w:jc w:val="center"/>
              <w:rPr>
                <w:szCs w:val="21"/>
              </w:rPr>
            </w:pPr>
            <w:r>
              <w:rPr>
                <w:szCs w:val="21"/>
              </w:rPr>
              <w:t>由</w:t>
            </w:r>
            <w:r>
              <w:rPr>
                <w:rFonts w:hint="eastAsia"/>
                <w:szCs w:val="21"/>
              </w:rPr>
              <w:t>南京市</w:t>
            </w:r>
            <w:r>
              <w:rPr>
                <w:szCs w:val="21"/>
              </w:rPr>
              <w:t>自来水厂供给</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Ex>
        <w:trPr>
          <w:trHeight w:val="220" w:hRule="atLeast"/>
          <w:jc w:val="center"/>
        </w:trPr>
        <w:tc>
          <w:tcPr>
            <w:tcW w:w="1078" w:type="dxa"/>
            <w:tcMar>
              <w:top w:w="0" w:type="dxa"/>
              <w:bottom w:w="0" w:type="dxa"/>
            </w:tcMar>
            <w:vAlign w:val="center"/>
          </w:tcPr>
          <w:p>
            <w:pPr>
              <w:spacing w:line="320" w:lineRule="exact"/>
              <w:jc w:val="center"/>
              <w:rPr>
                <w:szCs w:val="21"/>
              </w:rPr>
            </w:pPr>
            <w:r>
              <w:rPr>
                <w:szCs w:val="21"/>
              </w:rPr>
              <w:t>2</w:t>
            </w:r>
          </w:p>
        </w:tc>
        <w:tc>
          <w:tcPr>
            <w:tcW w:w="1517" w:type="dxa"/>
            <w:tcMar>
              <w:top w:w="0" w:type="dxa"/>
              <w:bottom w:w="0" w:type="dxa"/>
            </w:tcMar>
            <w:vAlign w:val="center"/>
          </w:tcPr>
          <w:p>
            <w:pPr>
              <w:spacing w:line="320" w:lineRule="exact"/>
              <w:jc w:val="center"/>
              <w:rPr>
                <w:szCs w:val="21"/>
              </w:rPr>
            </w:pPr>
            <w:r>
              <w:rPr>
                <w:szCs w:val="21"/>
              </w:rPr>
              <w:t>电</w:t>
            </w:r>
          </w:p>
        </w:tc>
        <w:tc>
          <w:tcPr>
            <w:tcW w:w="2149" w:type="dxa"/>
            <w:vAlign w:val="center"/>
          </w:tcPr>
          <w:p>
            <w:pPr>
              <w:spacing w:line="320" w:lineRule="exact"/>
              <w:jc w:val="center"/>
              <w:rPr>
                <w:szCs w:val="21"/>
              </w:rPr>
            </w:pPr>
            <w:r>
              <w:rPr>
                <w:szCs w:val="21"/>
              </w:rPr>
              <w:t>561.98万kwh/a</w:t>
            </w:r>
          </w:p>
        </w:tc>
        <w:tc>
          <w:tcPr>
            <w:tcW w:w="3584" w:type="dxa"/>
            <w:vAlign w:val="center"/>
          </w:tcPr>
          <w:p>
            <w:pPr>
              <w:spacing w:line="320" w:lineRule="exact"/>
              <w:jc w:val="center"/>
              <w:rPr>
                <w:szCs w:val="21"/>
              </w:rPr>
            </w:pPr>
            <w:r>
              <w:rPr>
                <w:szCs w:val="21"/>
              </w:rPr>
              <w:t>由市政电网提供</w:t>
            </w:r>
          </w:p>
        </w:tc>
      </w:tr>
    </w:tbl>
    <w:p>
      <w:pPr>
        <w:pStyle w:val="4"/>
        <w:adjustRightInd w:val="0"/>
        <w:snapToGrid w:val="0"/>
        <w:spacing w:before="0" w:after="0" w:line="360" w:lineRule="auto"/>
        <w:rPr>
          <w:bCs w:val="0"/>
          <w:sz w:val="24"/>
          <w:szCs w:val="24"/>
        </w:rPr>
      </w:pPr>
      <w:bookmarkStart w:id="106" w:name="_Toc435690405"/>
      <w:r>
        <w:rPr>
          <w:rFonts w:hint="eastAsia"/>
          <w:bCs w:val="0"/>
          <w:sz w:val="24"/>
          <w:szCs w:val="24"/>
        </w:rPr>
        <w:t>2.4.3</w:t>
      </w:r>
      <w:r>
        <w:rPr>
          <w:bCs w:val="0"/>
          <w:sz w:val="24"/>
          <w:szCs w:val="24"/>
        </w:rPr>
        <w:t>主要设备、公用及贮运设备</w:t>
      </w:r>
      <w:bookmarkEnd w:id="106"/>
    </w:p>
    <w:p>
      <w:pPr>
        <w:ind w:firstLine="480" w:firstLineChars="200"/>
        <w:rPr>
          <w:sz w:val="24"/>
        </w:rPr>
      </w:pPr>
      <w:r>
        <w:rPr>
          <w:sz w:val="24"/>
        </w:rPr>
        <w:t>本项目使用的设备主要为</w:t>
      </w:r>
      <w:r>
        <w:rPr>
          <w:rFonts w:hint="eastAsia"/>
          <w:sz w:val="24"/>
        </w:rPr>
        <w:t>货运仓储</w:t>
      </w:r>
      <w:r>
        <w:rPr>
          <w:sz w:val="24"/>
        </w:rPr>
        <w:t>设备、办公设备，具体见表</w:t>
      </w:r>
      <w:r>
        <w:rPr>
          <w:rFonts w:hint="eastAsia"/>
          <w:sz w:val="24"/>
        </w:rPr>
        <w:t>2</w:t>
      </w:r>
      <w:r>
        <w:rPr>
          <w:sz w:val="24"/>
        </w:rPr>
        <w:t>.4-</w:t>
      </w:r>
      <w:r>
        <w:rPr>
          <w:rFonts w:hint="eastAsia"/>
          <w:sz w:val="24"/>
        </w:rPr>
        <w:t>2</w:t>
      </w:r>
      <w:r>
        <w:rPr>
          <w:sz w:val="24"/>
        </w:rPr>
        <w:t>。</w:t>
      </w:r>
    </w:p>
    <w:p>
      <w:pPr>
        <w:adjustRightInd w:val="0"/>
        <w:snapToGrid w:val="0"/>
        <w:jc w:val="center"/>
        <w:rPr>
          <w:b/>
        </w:rPr>
      </w:pPr>
      <w:r>
        <w:rPr>
          <w:b/>
        </w:rPr>
        <w:t>表</w:t>
      </w:r>
      <w:r>
        <w:rPr>
          <w:rFonts w:hint="eastAsia"/>
          <w:b/>
        </w:rPr>
        <w:t>2</w:t>
      </w:r>
      <w:r>
        <w:rPr>
          <w:b/>
        </w:rPr>
        <w:t>.4-</w:t>
      </w:r>
      <w:r>
        <w:rPr>
          <w:rFonts w:hint="eastAsia"/>
          <w:b/>
        </w:rPr>
        <w:t>2</w:t>
      </w:r>
      <w:r>
        <w:rPr>
          <w:b/>
        </w:rPr>
        <w:t xml:space="preserve">  主要设备清单</w:t>
      </w:r>
    </w:p>
    <w:tbl>
      <w:tblPr>
        <w:tblStyle w:val="59"/>
        <w:tblW w:w="8528" w:type="dxa"/>
        <w:tblInd w:w="0" w:type="dxa"/>
        <w:tblLayout w:type="fixed"/>
        <w:tblCellMar>
          <w:top w:w="0" w:type="dxa"/>
          <w:left w:w="108" w:type="dxa"/>
          <w:bottom w:w="0" w:type="dxa"/>
          <w:right w:w="108" w:type="dxa"/>
        </w:tblCellMar>
      </w:tblPr>
      <w:tblGrid>
        <w:gridCol w:w="619"/>
        <w:gridCol w:w="3125"/>
        <w:gridCol w:w="1042"/>
        <w:gridCol w:w="1042"/>
        <w:gridCol w:w="2700"/>
      </w:tblGrid>
      <w:tr>
        <w:tblPrEx>
          <w:tblLayout w:type="fixed"/>
          <w:tblCellMar>
            <w:top w:w="0" w:type="dxa"/>
            <w:left w:w="108" w:type="dxa"/>
            <w:bottom w:w="0" w:type="dxa"/>
            <w:right w:w="108" w:type="dxa"/>
          </w:tblCellMar>
        </w:tblPrEx>
        <w:trPr>
          <w:trHeight w:val="330" w:hRule="atLeast"/>
        </w:trPr>
        <w:tc>
          <w:tcPr>
            <w:tcW w:w="619" w:type="dxa"/>
            <w:tcBorders>
              <w:top w:val="single" w:color="auto" w:sz="8" w:space="0"/>
              <w:left w:val="single" w:color="auto" w:sz="8" w:space="0"/>
              <w:bottom w:val="nil"/>
              <w:right w:val="single" w:color="auto" w:sz="4" w:space="0"/>
            </w:tcBorders>
            <w:shd w:val="clear" w:color="auto" w:fill="auto"/>
            <w:vAlign w:val="center"/>
          </w:tcPr>
          <w:p>
            <w:pPr>
              <w:spacing w:line="320" w:lineRule="exact"/>
              <w:jc w:val="center"/>
              <w:rPr>
                <w:szCs w:val="21"/>
              </w:rPr>
            </w:pPr>
            <w:bookmarkStart w:id="107" w:name="RANGE!A1:E28"/>
            <w:r>
              <w:rPr>
                <w:szCs w:val="21"/>
              </w:rPr>
              <w:t>序号</w:t>
            </w:r>
            <w:bookmarkEnd w:id="107"/>
          </w:p>
        </w:tc>
        <w:tc>
          <w:tcPr>
            <w:tcW w:w="3125" w:type="dxa"/>
            <w:tcBorders>
              <w:top w:val="single" w:color="auto" w:sz="8" w:space="0"/>
              <w:left w:val="nil"/>
              <w:bottom w:val="nil"/>
              <w:right w:val="single" w:color="auto" w:sz="4" w:space="0"/>
            </w:tcBorders>
            <w:shd w:val="clear" w:color="auto" w:fill="auto"/>
            <w:vAlign w:val="center"/>
          </w:tcPr>
          <w:p>
            <w:pPr>
              <w:spacing w:line="320" w:lineRule="exact"/>
              <w:jc w:val="center"/>
              <w:rPr>
                <w:szCs w:val="21"/>
              </w:rPr>
            </w:pPr>
            <w:r>
              <w:rPr>
                <w:szCs w:val="21"/>
              </w:rPr>
              <w:t>设备名称</w:t>
            </w:r>
          </w:p>
        </w:tc>
        <w:tc>
          <w:tcPr>
            <w:tcW w:w="1042" w:type="dxa"/>
            <w:tcBorders>
              <w:top w:val="single" w:color="auto" w:sz="8" w:space="0"/>
              <w:left w:val="single" w:color="auto" w:sz="4" w:space="0"/>
              <w:bottom w:val="nil"/>
              <w:right w:val="single" w:color="auto" w:sz="4" w:space="0"/>
            </w:tcBorders>
            <w:shd w:val="clear" w:color="auto" w:fill="auto"/>
            <w:vAlign w:val="center"/>
          </w:tcPr>
          <w:p>
            <w:pPr>
              <w:spacing w:line="320" w:lineRule="exact"/>
              <w:jc w:val="center"/>
              <w:rPr>
                <w:szCs w:val="21"/>
              </w:rPr>
            </w:pPr>
            <w:r>
              <w:rPr>
                <w:szCs w:val="21"/>
              </w:rPr>
              <w:t>数量</w:t>
            </w:r>
          </w:p>
        </w:tc>
        <w:tc>
          <w:tcPr>
            <w:tcW w:w="1042" w:type="dxa"/>
            <w:tcBorders>
              <w:top w:val="single" w:color="auto" w:sz="8" w:space="0"/>
              <w:left w:val="nil"/>
              <w:bottom w:val="nil"/>
              <w:right w:val="single" w:color="auto" w:sz="4" w:space="0"/>
            </w:tcBorders>
            <w:shd w:val="clear" w:color="auto" w:fill="auto"/>
            <w:vAlign w:val="center"/>
          </w:tcPr>
          <w:p>
            <w:pPr>
              <w:spacing w:line="320" w:lineRule="exact"/>
              <w:jc w:val="center"/>
              <w:rPr>
                <w:szCs w:val="21"/>
              </w:rPr>
            </w:pPr>
            <w:r>
              <w:rPr>
                <w:szCs w:val="21"/>
              </w:rPr>
              <w:t>单位</w:t>
            </w:r>
          </w:p>
        </w:tc>
        <w:tc>
          <w:tcPr>
            <w:tcW w:w="2700" w:type="dxa"/>
            <w:tcBorders>
              <w:top w:val="single" w:color="auto" w:sz="8" w:space="0"/>
              <w:left w:val="nil"/>
              <w:bottom w:val="nil"/>
              <w:right w:val="single" w:color="auto" w:sz="4" w:space="0"/>
            </w:tcBorders>
            <w:vAlign w:val="center"/>
          </w:tcPr>
          <w:p>
            <w:pPr>
              <w:spacing w:line="320" w:lineRule="exact"/>
              <w:jc w:val="center"/>
              <w:rPr>
                <w:szCs w:val="21"/>
              </w:rPr>
            </w:pPr>
            <w:r>
              <w:rPr>
                <w:szCs w:val="21"/>
              </w:rPr>
              <w:t>规格型号</w:t>
            </w:r>
          </w:p>
        </w:tc>
      </w:tr>
      <w:tr>
        <w:tblPrEx>
          <w:tblLayout w:type="fixed"/>
          <w:tblCellMar>
            <w:top w:w="0" w:type="dxa"/>
            <w:left w:w="108" w:type="dxa"/>
            <w:bottom w:w="0" w:type="dxa"/>
            <w:right w:w="108" w:type="dxa"/>
          </w:tblCellMar>
        </w:tblPrEx>
        <w:trPr>
          <w:trHeight w:val="532" w:hRule="atLeast"/>
        </w:trPr>
        <w:tc>
          <w:tcPr>
            <w:tcW w:w="619"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1</w:t>
            </w:r>
          </w:p>
        </w:tc>
        <w:tc>
          <w:tcPr>
            <w:tcW w:w="3125" w:type="dxa"/>
            <w:tcBorders>
              <w:top w:val="single" w:color="auto" w:sz="4" w:space="0"/>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SCS存储箱</w:t>
            </w:r>
          </w:p>
        </w:tc>
        <w:tc>
          <w:tcPr>
            <w:tcW w:w="1042" w:type="dxa"/>
            <w:tcBorders>
              <w:top w:val="single" w:color="auto" w:sz="8" w:space="0"/>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180000</w:t>
            </w:r>
          </w:p>
        </w:tc>
        <w:tc>
          <w:tcPr>
            <w:tcW w:w="1042" w:type="dxa"/>
            <w:tcBorders>
              <w:top w:val="single" w:color="auto" w:sz="8" w:space="0"/>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个</w:t>
            </w:r>
          </w:p>
        </w:tc>
        <w:tc>
          <w:tcPr>
            <w:tcW w:w="2700" w:type="dxa"/>
            <w:tcBorders>
              <w:top w:val="single" w:color="auto" w:sz="8" w:space="0"/>
              <w:left w:val="nil"/>
              <w:bottom w:val="single" w:color="auto" w:sz="4" w:space="0"/>
              <w:right w:val="single" w:color="auto" w:sz="4" w:space="0"/>
            </w:tcBorders>
            <w:vAlign w:val="center"/>
          </w:tcPr>
          <w:p>
            <w:pPr>
              <w:spacing w:line="320" w:lineRule="exact"/>
              <w:jc w:val="center"/>
              <w:rPr>
                <w:szCs w:val="21"/>
              </w:rPr>
            </w:pPr>
            <w:r>
              <w:rPr>
                <w:szCs w:val="21"/>
              </w:rPr>
              <w:t xml:space="preserve">类型: SSI 胜斐迩 LTB 6280；大小: 600x400x280 </w:t>
            </w:r>
            <w:r>
              <w:rPr>
                <w:rFonts w:hint="eastAsia"/>
                <w:szCs w:val="21"/>
              </w:rPr>
              <w:t>mm</w:t>
            </w:r>
          </w:p>
        </w:tc>
      </w:tr>
      <w:tr>
        <w:tblPrEx>
          <w:tblLayout w:type="fixed"/>
          <w:tblCellMar>
            <w:top w:w="0" w:type="dxa"/>
            <w:left w:w="108" w:type="dxa"/>
            <w:bottom w:w="0" w:type="dxa"/>
            <w:right w:w="108" w:type="dxa"/>
          </w:tblCellMar>
        </w:tblPrEx>
        <w:trPr>
          <w:trHeight w:val="255" w:hRule="atLeast"/>
        </w:trPr>
        <w:tc>
          <w:tcPr>
            <w:tcW w:w="619" w:type="dxa"/>
            <w:vMerge w:val="restart"/>
            <w:tcBorders>
              <w:top w:val="nil"/>
              <w:left w:val="single" w:color="auto" w:sz="4" w:space="0"/>
              <w:bottom w:val="single" w:color="000000" w:sz="4" w:space="0"/>
              <w:right w:val="single" w:color="auto" w:sz="4" w:space="0"/>
            </w:tcBorders>
            <w:shd w:val="clear" w:color="auto" w:fill="auto"/>
            <w:vAlign w:val="center"/>
          </w:tcPr>
          <w:p>
            <w:pPr>
              <w:spacing w:line="320" w:lineRule="exact"/>
              <w:jc w:val="center"/>
              <w:rPr>
                <w:szCs w:val="21"/>
              </w:rPr>
            </w:pPr>
            <w:r>
              <w:rPr>
                <w:szCs w:val="21"/>
              </w:rPr>
              <w:t>2</w:t>
            </w:r>
          </w:p>
        </w:tc>
        <w:tc>
          <w:tcPr>
            <w:tcW w:w="3125" w:type="dxa"/>
            <w:vMerge w:val="restart"/>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胜斐迩Miniload系统</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12</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巷道</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szCs w:val="21"/>
              </w:rPr>
              <w:t>SMC-XL2箱式堆垛机</w:t>
            </w:r>
          </w:p>
        </w:tc>
      </w:tr>
      <w:tr>
        <w:tblPrEx>
          <w:tblLayout w:type="fixed"/>
          <w:tblCellMar>
            <w:top w:w="0" w:type="dxa"/>
            <w:left w:w="108" w:type="dxa"/>
            <w:bottom w:w="0" w:type="dxa"/>
            <w:right w:w="108" w:type="dxa"/>
          </w:tblCellMar>
        </w:tblPrEx>
        <w:trPr>
          <w:trHeight w:val="270" w:hRule="atLeast"/>
        </w:trPr>
        <w:tc>
          <w:tcPr>
            <w:tcW w:w="619" w:type="dxa"/>
            <w:vMerge w:val="continue"/>
            <w:tcBorders>
              <w:top w:val="nil"/>
              <w:left w:val="single" w:color="auto" w:sz="4" w:space="0"/>
              <w:bottom w:val="single" w:color="000000" w:sz="4" w:space="0"/>
              <w:right w:val="single" w:color="auto" w:sz="4" w:space="0"/>
            </w:tcBorders>
            <w:shd w:val="clear" w:color="auto" w:fill="auto"/>
            <w:vAlign w:val="center"/>
          </w:tcPr>
          <w:p>
            <w:pPr>
              <w:spacing w:line="320" w:lineRule="exact"/>
              <w:jc w:val="center"/>
              <w:rPr>
                <w:szCs w:val="21"/>
              </w:rPr>
            </w:pPr>
          </w:p>
        </w:tc>
        <w:tc>
          <w:tcPr>
            <w:tcW w:w="3125" w:type="dxa"/>
            <w:vMerge w:val="continue"/>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338400</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货位</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szCs w:val="21"/>
              </w:rPr>
              <w:t>货架</w:t>
            </w:r>
          </w:p>
        </w:tc>
      </w:tr>
      <w:tr>
        <w:tblPrEx>
          <w:tblLayout w:type="fixed"/>
          <w:tblCellMar>
            <w:top w:w="0" w:type="dxa"/>
            <w:left w:w="108" w:type="dxa"/>
            <w:bottom w:w="0" w:type="dxa"/>
            <w:right w:w="108" w:type="dxa"/>
          </w:tblCellMar>
        </w:tblPrEx>
        <w:trPr>
          <w:trHeight w:val="365" w:hRule="atLeast"/>
        </w:trPr>
        <w:tc>
          <w:tcPr>
            <w:tcW w:w="619" w:type="dxa"/>
            <w:vMerge w:val="restart"/>
            <w:tcBorders>
              <w:top w:val="nil"/>
              <w:left w:val="single" w:color="auto" w:sz="4" w:space="0"/>
              <w:bottom w:val="single" w:color="000000" w:sz="4" w:space="0"/>
              <w:right w:val="single" w:color="auto" w:sz="4" w:space="0"/>
            </w:tcBorders>
            <w:shd w:val="clear" w:color="auto" w:fill="auto"/>
            <w:vAlign w:val="center"/>
          </w:tcPr>
          <w:p>
            <w:pPr>
              <w:spacing w:line="320" w:lineRule="exact"/>
              <w:jc w:val="center"/>
              <w:rPr>
                <w:szCs w:val="21"/>
              </w:rPr>
            </w:pPr>
            <w:r>
              <w:rPr>
                <w:szCs w:val="21"/>
              </w:rPr>
              <w:t>3</w:t>
            </w:r>
          </w:p>
        </w:tc>
        <w:tc>
          <w:tcPr>
            <w:tcW w:w="3125" w:type="dxa"/>
            <w:vMerge w:val="restart"/>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胜斐迩托盘堆垛机</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3</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巷道</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szCs w:val="21"/>
              </w:rPr>
              <w:t>托盘堆垛机</w:t>
            </w:r>
          </w:p>
        </w:tc>
      </w:tr>
      <w:tr>
        <w:tblPrEx>
          <w:tblLayout w:type="fixed"/>
          <w:tblCellMar>
            <w:top w:w="0" w:type="dxa"/>
            <w:left w:w="108" w:type="dxa"/>
            <w:bottom w:w="0" w:type="dxa"/>
            <w:right w:w="108" w:type="dxa"/>
          </w:tblCellMar>
        </w:tblPrEx>
        <w:trPr>
          <w:trHeight w:val="270" w:hRule="atLeast"/>
        </w:trPr>
        <w:tc>
          <w:tcPr>
            <w:tcW w:w="619" w:type="dxa"/>
            <w:vMerge w:val="continue"/>
            <w:tcBorders>
              <w:top w:val="nil"/>
              <w:left w:val="single" w:color="auto" w:sz="4" w:space="0"/>
              <w:bottom w:val="single" w:color="000000" w:sz="4" w:space="0"/>
              <w:right w:val="single" w:color="auto" w:sz="4" w:space="0"/>
            </w:tcBorders>
            <w:shd w:val="clear" w:color="auto" w:fill="auto"/>
            <w:vAlign w:val="center"/>
          </w:tcPr>
          <w:p>
            <w:pPr>
              <w:spacing w:line="320" w:lineRule="exact"/>
              <w:jc w:val="center"/>
              <w:rPr>
                <w:szCs w:val="21"/>
              </w:rPr>
            </w:pPr>
          </w:p>
        </w:tc>
        <w:tc>
          <w:tcPr>
            <w:tcW w:w="3125" w:type="dxa"/>
            <w:vMerge w:val="continue"/>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10608</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货位</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szCs w:val="21"/>
              </w:rPr>
              <w:t>货架</w:t>
            </w:r>
          </w:p>
        </w:tc>
      </w:tr>
      <w:tr>
        <w:tblPrEx>
          <w:tblLayout w:type="fixed"/>
          <w:tblCellMar>
            <w:top w:w="0" w:type="dxa"/>
            <w:left w:w="108" w:type="dxa"/>
            <w:bottom w:w="0" w:type="dxa"/>
            <w:right w:w="108" w:type="dxa"/>
          </w:tblCellMar>
        </w:tblPrEx>
        <w:trPr>
          <w:trHeight w:val="361"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4</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周转箱/纸箱输送机</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25081</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米</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267"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5</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托盘输送机</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240</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米</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371"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6</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阁楼货架</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11464</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个</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361"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7</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托盘补货的流力架</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5160</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托盘储位</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267"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8</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托盘补货的流力架通道</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8600</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流箱货道</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270"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9</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搁板货架</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2356</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个</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szCs w:val="21"/>
              </w:rPr>
              <w:t>1283净宽*590深*2200高</w:t>
            </w:r>
          </w:p>
        </w:tc>
      </w:tr>
      <w:tr>
        <w:tblPrEx>
          <w:tblLayout w:type="fixed"/>
          <w:tblCellMar>
            <w:top w:w="0" w:type="dxa"/>
            <w:left w:w="108" w:type="dxa"/>
            <w:bottom w:w="0" w:type="dxa"/>
            <w:right w:w="108" w:type="dxa"/>
          </w:tblCellMar>
        </w:tblPrEx>
        <w:trPr>
          <w:trHeight w:val="293"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10</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托盘货架</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8092</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面</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231"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11</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SCS 发货</w:t>
            </w:r>
          </w:p>
        </w:tc>
        <w:tc>
          <w:tcPr>
            <w:tcW w:w="1042" w:type="dxa"/>
            <w:tcBorders>
              <w:top w:val="single" w:color="auto" w:sz="8" w:space="0"/>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20</w:t>
            </w:r>
          </w:p>
        </w:tc>
        <w:tc>
          <w:tcPr>
            <w:tcW w:w="1042" w:type="dxa"/>
            <w:tcBorders>
              <w:top w:val="single" w:color="auto" w:sz="8" w:space="0"/>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单元</w:t>
            </w:r>
          </w:p>
        </w:tc>
        <w:tc>
          <w:tcPr>
            <w:tcW w:w="2700" w:type="dxa"/>
            <w:tcBorders>
              <w:top w:val="single" w:color="auto" w:sz="8" w:space="0"/>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270"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12</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包装分拣系统</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1</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套</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285"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13</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路径分拣机系统</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1</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套</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szCs w:val="21"/>
              </w:rPr>
              <w:t>类型：交叉皮带式</w:t>
            </w:r>
          </w:p>
        </w:tc>
      </w:tr>
      <w:tr>
        <w:tblPrEx>
          <w:tblLayout w:type="fixed"/>
          <w:tblCellMar>
            <w:top w:w="0" w:type="dxa"/>
            <w:left w:w="108" w:type="dxa"/>
            <w:bottom w:w="0" w:type="dxa"/>
            <w:right w:w="108" w:type="dxa"/>
          </w:tblCellMar>
        </w:tblPrEx>
        <w:trPr>
          <w:trHeight w:val="217"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14</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SCS旋转系统存储系统</w:t>
            </w:r>
          </w:p>
        </w:tc>
        <w:tc>
          <w:tcPr>
            <w:tcW w:w="1042" w:type="dxa"/>
            <w:tcBorders>
              <w:top w:val="single" w:color="auto" w:sz="8" w:space="0"/>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42</w:t>
            </w:r>
          </w:p>
        </w:tc>
        <w:tc>
          <w:tcPr>
            <w:tcW w:w="1042" w:type="dxa"/>
            <w:tcBorders>
              <w:top w:val="single" w:color="auto" w:sz="8" w:space="0"/>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单元</w:t>
            </w:r>
          </w:p>
        </w:tc>
        <w:tc>
          <w:tcPr>
            <w:tcW w:w="2700" w:type="dxa"/>
            <w:tcBorders>
              <w:top w:val="single" w:color="auto" w:sz="8" w:space="0"/>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270"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15</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A字架</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1</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套</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szCs w:val="21"/>
              </w:rPr>
              <w:t>22个模块</w:t>
            </w:r>
          </w:p>
        </w:tc>
      </w:tr>
      <w:tr>
        <w:tblPrEx>
          <w:tblLayout w:type="fixed"/>
          <w:tblCellMar>
            <w:top w:w="0" w:type="dxa"/>
            <w:left w:w="108" w:type="dxa"/>
            <w:bottom w:w="0" w:type="dxa"/>
            <w:right w:w="108" w:type="dxa"/>
          </w:tblCellMar>
        </w:tblPrEx>
        <w:trPr>
          <w:trHeight w:val="285"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16</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流力架通道</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4235</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通道</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133"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17</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电脑</w:t>
            </w:r>
          </w:p>
        </w:tc>
        <w:tc>
          <w:tcPr>
            <w:tcW w:w="1042" w:type="dxa"/>
            <w:tcBorders>
              <w:top w:val="single" w:color="auto" w:sz="8" w:space="0"/>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515</w:t>
            </w:r>
          </w:p>
        </w:tc>
        <w:tc>
          <w:tcPr>
            <w:tcW w:w="1042" w:type="dxa"/>
            <w:tcBorders>
              <w:top w:val="single" w:color="auto" w:sz="8" w:space="0"/>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个</w:t>
            </w:r>
          </w:p>
        </w:tc>
        <w:tc>
          <w:tcPr>
            <w:tcW w:w="2700" w:type="dxa"/>
            <w:tcBorders>
              <w:top w:val="single" w:color="auto" w:sz="8" w:space="0"/>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405"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18</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手持式扫描枪</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515</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个</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207"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19</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产品测量器（可选，由SAP决定）</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29</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个</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287"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20</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计数测量器（可选，由SAP决定）</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209</w:t>
            </w:r>
          </w:p>
        </w:tc>
        <w:tc>
          <w:tcPr>
            <w:tcW w:w="1042" w:type="dxa"/>
            <w:tcBorders>
              <w:top w:val="single" w:color="auto" w:sz="8" w:space="0"/>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个</w:t>
            </w:r>
          </w:p>
        </w:tc>
        <w:tc>
          <w:tcPr>
            <w:tcW w:w="2700" w:type="dxa"/>
            <w:tcBorders>
              <w:top w:val="single" w:color="auto" w:sz="8" w:space="0"/>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277"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21</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标签打印机</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98</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个</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226"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22</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包裹标签打印机</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219</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个</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163"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23</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包裹清单打印机</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239</w:t>
            </w:r>
          </w:p>
        </w:tc>
        <w:tc>
          <w:tcPr>
            <w:tcW w:w="1042" w:type="dxa"/>
            <w:tcBorders>
              <w:top w:val="single" w:color="auto" w:sz="8" w:space="0"/>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个</w:t>
            </w:r>
          </w:p>
        </w:tc>
        <w:tc>
          <w:tcPr>
            <w:tcW w:w="2700" w:type="dxa"/>
            <w:tcBorders>
              <w:top w:val="single" w:color="auto" w:sz="8" w:space="0"/>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263"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24</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发票打印机</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214</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个</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r>
        <w:tblPrEx>
          <w:tblLayout w:type="fixed"/>
          <w:tblCellMar>
            <w:top w:w="0" w:type="dxa"/>
            <w:left w:w="108" w:type="dxa"/>
            <w:bottom w:w="0" w:type="dxa"/>
            <w:right w:w="108" w:type="dxa"/>
          </w:tblCellMar>
        </w:tblPrEx>
        <w:trPr>
          <w:trHeight w:val="211" w:hRule="atLeast"/>
        </w:trPr>
        <w:tc>
          <w:tcPr>
            <w:tcW w:w="619" w:type="dxa"/>
            <w:tcBorders>
              <w:top w:val="nil"/>
              <w:left w:val="single" w:color="auto" w:sz="4" w:space="0"/>
              <w:bottom w:val="single" w:color="auto" w:sz="4" w:space="0"/>
              <w:right w:val="single" w:color="auto" w:sz="4" w:space="0"/>
            </w:tcBorders>
            <w:shd w:val="clear" w:color="auto" w:fill="auto"/>
            <w:vAlign w:val="center"/>
          </w:tcPr>
          <w:p>
            <w:pPr>
              <w:spacing w:line="320" w:lineRule="exact"/>
              <w:jc w:val="center"/>
              <w:rPr>
                <w:szCs w:val="21"/>
              </w:rPr>
            </w:pPr>
            <w:r>
              <w:rPr>
                <w:szCs w:val="21"/>
              </w:rPr>
              <w:t>25</w:t>
            </w:r>
          </w:p>
        </w:tc>
        <w:tc>
          <w:tcPr>
            <w:tcW w:w="3125"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scanner RF手持</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315</w:t>
            </w:r>
          </w:p>
        </w:tc>
        <w:tc>
          <w:tcPr>
            <w:tcW w:w="1042" w:type="dxa"/>
            <w:tcBorders>
              <w:top w:val="nil"/>
              <w:left w:val="nil"/>
              <w:bottom w:val="single" w:color="auto" w:sz="4" w:space="0"/>
              <w:right w:val="single" w:color="auto" w:sz="4" w:space="0"/>
            </w:tcBorders>
            <w:shd w:val="clear" w:color="auto" w:fill="auto"/>
            <w:vAlign w:val="center"/>
          </w:tcPr>
          <w:p>
            <w:pPr>
              <w:spacing w:line="320" w:lineRule="exact"/>
              <w:jc w:val="center"/>
              <w:rPr>
                <w:szCs w:val="21"/>
              </w:rPr>
            </w:pPr>
            <w:r>
              <w:rPr>
                <w:szCs w:val="21"/>
              </w:rPr>
              <w:t>个</w:t>
            </w:r>
          </w:p>
        </w:tc>
        <w:tc>
          <w:tcPr>
            <w:tcW w:w="2700" w:type="dxa"/>
            <w:tcBorders>
              <w:top w:val="nil"/>
              <w:left w:val="nil"/>
              <w:bottom w:val="single" w:color="auto" w:sz="4" w:space="0"/>
              <w:right w:val="single" w:color="auto" w:sz="4" w:space="0"/>
            </w:tcBorders>
            <w:vAlign w:val="center"/>
          </w:tcPr>
          <w:p>
            <w:pPr>
              <w:spacing w:line="320" w:lineRule="exact"/>
              <w:jc w:val="center"/>
              <w:rPr>
                <w:szCs w:val="21"/>
              </w:rPr>
            </w:pPr>
            <w:r>
              <w:rPr>
                <w:rFonts w:hint="eastAsia"/>
                <w:szCs w:val="21"/>
              </w:rPr>
              <w:t>/</w:t>
            </w:r>
          </w:p>
        </w:tc>
      </w:tr>
    </w:tbl>
    <w:p>
      <w:pPr>
        <w:pStyle w:val="3"/>
        <w:tabs>
          <w:tab w:val="left" w:pos="360"/>
          <w:tab w:val="left" w:pos="840"/>
        </w:tabs>
        <w:spacing w:before="0" w:after="0" w:line="360" w:lineRule="auto"/>
        <w:rPr>
          <w:rFonts w:ascii="Times New Roman" w:hAnsi="Times New Roman" w:eastAsia="宋体"/>
          <w:b/>
          <w:sz w:val="28"/>
          <w:szCs w:val="28"/>
        </w:rPr>
      </w:pPr>
      <w:bookmarkStart w:id="108" w:name="_Toc433723070"/>
      <w:bookmarkStart w:id="109" w:name="_Toc435690406"/>
      <w:r>
        <w:rPr>
          <w:rFonts w:hint="eastAsia" w:ascii="Times New Roman" w:hAnsi="Times New Roman" w:eastAsia="宋体"/>
          <w:b/>
          <w:sz w:val="28"/>
          <w:szCs w:val="28"/>
        </w:rPr>
        <w:t>2.5</w:t>
      </w:r>
      <w:r>
        <w:rPr>
          <w:rFonts w:ascii="Times New Roman" w:hAnsi="Times New Roman" w:eastAsia="宋体"/>
          <w:b/>
          <w:sz w:val="28"/>
          <w:szCs w:val="28"/>
        </w:rPr>
        <w:t>施工期</w:t>
      </w:r>
      <w:r>
        <w:rPr>
          <w:rFonts w:hint="eastAsia" w:ascii="Times New Roman" w:hAnsi="Times New Roman" w:eastAsia="宋体"/>
          <w:b/>
          <w:sz w:val="28"/>
          <w:szCs w:val="28"/>
        </w:rPr>
        <w:t>环境影响</w:t>
      </w:r>
      <w:r>
        <w:rPr>
          <w:rFonts w:ascii="Times New Roman" w:hAnsi="Times New Roman" w:eastAsia="宋体"/>
          <w:b/>
          <w:sz w:val="28"/>
          <w:szCs w:val="28"/>
        </w:rPr>
        <w:t>分析</w:t>
      </w:r>
      <w:bookmarkEnd w:id="108"/>
      <w:r>
        <w:rPr>
          <w:rFonts w:hint="eastAsia" w:ascii="Times New Roman" w:hAnsi="Times New Roman" w:eastAsia="宋体"/>
          <w:b/>
          <w:sz w:val="28"/>
          <w:szCs w:val="28"/>
        </w:rPr>
        <w:t>及污染防治措施</w:t>
      </w:r>
      <w:bookmarkEnd w:id="109"/>
    </w:p>
    <w:p>
      <w:pPr>
        <w:pStyle w:val="4"/>
        <w:adjustRightInd w:val="0"/>
        <w:snapToGrid w:val="0"/>
        <w:spacing w:before="0" w:after="0" w:line="360" w:lineRule="auto"/>
        <w:rPr>
          <w:bCs w:val="0"/>
          <w:sz w:val="24"/>
          <w:szCs w:val="24"/>
        </w:rPr>
      </w:pPr>
      <w:bookmarkStart w:id="110" w:name="_Toc435690407"/>
      <w:r>
        <w:rPr>
          <w:rFonts w:hint="eastAsia"/>
          <w:bCs w:val="0"/>
          <w:sz w:val="24"/>
          <w:szCs w:val="24"/>
        </w:rPr>
        <w:t>2.5.1</w:t>
      </w:r>
      <w:r>
        <w:rPr>
          <w:bCs w:val="0"/>
          <w:sz w:val="24"/>
          <w:szCs w:val="24"/>
        </w:rPr>
        <w:t>施工工艺流程及产污环节</w:t>
      </w:r>
      <w:bookmarkEnd w:id="110"/>
    </w:p>
    <w:p>
      <w:pPr>
        <w:adjustRightInd w:val="0"/>
        <w:snapToGrid w:val="0"/>
        <w:spacing w:line="360" w:lineRule="auto"/>
        <w:ind w:firstLine="480" w:firstLineChars="200"/>
        <w:rPr>
          <w:sz w:val="24"/>
        </w:rPr>
      </w:pPr>
      <w:r>
        <w:rPr>
          <w:sz w:val="24"/>
        </w:rPr>
        <w:t>本项目主要建设</w:t>
      </w:r>
      <w:r>
        <w:rPr>
          <w:rFonts w:hint="eastAsia"/>
          <w:sz w:val="24"/>
        </w:rPr>
        <w:t>商品仓库</w:t>
      </w:r>
      <w:r>
        <w:rPr>
          <w:sz w:val="24"/>
        </w:rPr>
        <w:t>、</w:t>
      </w:r>
      <w:r>
        <w:rPr>
          <w:rFonts w:hint="eastAsia"/>
          <w:sz w:val="24"/>
        </w:rPr>
        <w:t>分拣</w:t>
      </w:r>
      <w:r>
        <w:rPr>
          <w:sz w:val="24"/>
        </w:rPr>
        <w:t>中心</w:t>
      </w:r>
      <w:r>
        <w:rPr>
          <w:rFonts w:hint="eastAsia"/>
          <w:sz w:val="24"/>
        </w:rPr>
        <w:t>及配套的研发办公楼</w:t>
      </w:r>
      <w:r>
        <w:rPr>
          <w:sz w:val="24"/>
        </w:rPr>
        <w:t>等。</w:t>
      </w:r>
      <w:r>
        <w:rPr>
          <w:rFonts w:hint="eastAsia"/>
          <w:sz w:val="24"/>
        </w:rPr>
        <w:t>根据现场勘查截止2015年6月建设项目1#~4#仓库及分拣中心已基本建设完成。研发办公楼尚未开工建设。</w:t>
      </w:r>
      <w:r>
        <w:rPr>
          <w:sz w:val="24"/>
        </w:rPr>
        <w:t>施工期工艺流程主要为基础工程、主体工程、装饰工程和设备安装，施工期流程及产污节点图详见图</w:t>
      </w:r>
      <w:r>
        <w:rPr>
          <w:rFonts w:hint="eastAsia"/>
          <w:sz w:val="24"/>
        </w:rPr>
        <w:t>2</w:t>
      </w:r>
      <w:r>
        <w:rPr>
          <w:sz w:val="24"/>
        </w:rPr>
        <w:t>.</w:t>
      </w:r>
      <w:r>
        <w:rPr>
          <w:rFonts w:hint="eastAsia"/>
          <w:sz w:val="24"/>
        </w:rPr>
        <w:t>5</w:t>
      </w:r>
      <w:r>
        <w:rPr>
          <w:sz w:val="24"/>
        </w:rPr>
        <w:t>-1。</w:t>
      </w:r>
    </w:p>
    <w:p>
      <w:pPr>
        <w:adjustRightInd w:val="0"/>
        <w:snapToGrid w:val="0"/>
        <w:spacing w:line="360" w:lineRule="auto"/>
        <w:ind w:firstLine="480" w:firstLineChars="200"/>
        <w:rPr>
          <w:sz w:val="24"/>
        </w:rPr>
      </w:pPr>
      <w:r>
        <w:rPr>
          <w:sz w:val="24"/>
        </w:rPr>
        <w:t>1、基础工程</w:t>
      </w:r>
    </w:p>
    <w:p>
      <w:pPr>
        <w:adjustRightInd w:val="0"/>
        <w:snapToGrid w:val="0"/>
        <w:spacing w:line="360" w:lineRule="auto"/>
        <w:ind w:firstLine="480" w:firstLineChars="200"/>
        <w:rPr>
          <w:sz w:val="24"/>
        </w:rPr>
      </w:pPr>
      <w:r>
        <w:rPr>
          <w:sz w:val="24"/>
        </w:rPr>
        <w:t>1）开挖</w:t>
      </w:r>
    </w:p>
    <w:p>
      <w:pPr>
        <w:adjustRightInd w:val="0"/>
        <w:snapToGrid w:val="0"/>
        <w:spacing w:line="360" w:lineRule="auto"/>
        <w:ind w:firstLine="480" w:firstLineChars="200"/>
        <w:rPr>
          <w:sz w:val="24"/>
        </w:rPr>
      </w:pPr>
      <w:r>
        <w:rPr>
          <w:sz w:val="24"/>
        </w:rPr>
        <w:t>开挖过程的主要污染物为渣土，施工机械噪声等。</w:t>
      </w:r>
    </w:p>
    <w:p>
      <w:pPr>
        <w:adjustRightInd w:val="0"/>
        <w:snapToGrid w:val="0"/>
        <w:spacing w:line="360" w:lineRule="auto"/>
        <w:ind w:firstLine="480" w:firstLineChars="200"/>
        <w:rPr>
          <w:sz w:val="24"/>
        </w:rPr>
      </w:pPr>
      <w:r>
        <w:rPr>
          <w:sz w:val="24"/>
        </w:rPr>
        <w:t>2）地下工程施工</w:t>
      </w:r>
    </w:p>
    <w:p>
      <w:pPr>
        <w:adjustRightInd w:val="0"/>
        <w:snapToGrid w:val="0"/>
        <w:spacing w:line="360" w:lineRule="auto"/>
        <w:ind w:firstLine="480" w:firstLineChars="200"/>
        <w:rPr>
          <w:sz w:val="24"/>
        </w:rPr>
      </w:pPr>
      <w:r>
        <w:rPr>
          <w:sz w:val="24"/>
        </w:rPr>
        <w:t>主要污染物为施工机械噪声、建筑垃圾及地下土方，工人的生活污水等。其中部分地下土方可以用于后续工程中填土与夯实，其余由市政部门回收用于道路填充。</w:t>
      </w:r>
    </w:p>
    <w:p>
      <w:pPr>
        <w:adjustRightInd w:val="0"/>
        <w:snapToGrid w:val="0"/>
        <w:spacing w:line="360" w:lineRule="auto"/>
        <w:ind w:firstLine="480" w:firstLineChars="200"/>
        <w:rPr>
          <w:sz w:val="24"/>
        </w:rPr>
      </w:pPr>
      <w:r>
        <w:rPr>
          <w:sz w:val="24"/>
        </w:rPr>
        <w:t>3）填土、夯实</w:t>
      </w:r>
    </w:p>
    <w:p>
      <w:pPr>
        <w:adjustRightInd w:val="0"/>
        <w:snapToGrid w:val="0"/>
        <w:spacing w:line="360" w:lineRule="auto"/>
        <w:ind w:firstLine="480" w:firstLineChars="200"/>
        <w:rPr>
          <w:sz w:val="24"/>
        </w:rPr>
      </w:pPr>
      <w:r>
        <w:rPr>
          <w:sz w:val="24"/>
        </w:rPr>
        <w:t>填土施工时，一般将软弱土层挖至天然好土，然后作砂框，用平板振荡器挡实，再进行分层填土，然后用10~12吨的压路机分遍压碾，碾压时需浇水湿润填土以利于密实。夯实是利用起重机械吊起特制的重锤来冲击基土表面，使地基受到压密。适用于加固稍湿的压缩不均的各种土和人工填土。一般夯打为8~12遍，重锤夯实应分段进行，第一遍按一夯一夯进行，在一次循环中同一夯位应连夯二下，下一循环有1/2锤底直径搭接，如此反复进行。在此过程中，主要污染物为施工机械产生的噪声、粉尘和排放的尾气（主要是NO</w:t>
      </w:r>
      <w:r>
        <w:rPr>
          <w:sz w:val="24"/>
          <w:vertAlign w:val="subscript"/>
        </w:rPr>
        <w:t>2</w:t>
      </w:r>
      <w:r>
        <w:rPr>
          <w:sz w:val="24"/>
        </w:rPr>
        <w:t>、CO和烃类物等）以及工人的生活污水。</w:t>
      </w:r>
    </w:p>
    <w:p>
      <w:pPr>
        <w:adjustRightInd w:val="0"/>
        <w:snapToGrid w:val="0"/>
        <w:spacing w:line="360" w:lineRule="auto"/>
        <w:ind w:firstLine="480" w:firstLineChars="200"/>
        <w:rPr>
          <w:sz w:val="24"/>
        </w:rPr>
      </w:pPr>
      <w:r>
        <w:rPr>
          <w:sz w:val="24"/>
        </w:rPr>
        <w:t>2、主体工程</w:t>
      </w:r>
    </w:p>
    <w:p>
      <w:pPr>
        <w:adjustRightInd w:val="0"/>
        <w:snapToGrid w:val="0"/>
        <w:spacing w:line="360" w:lineRule="auto"/>
        <w:ind w:firstLine="480" w:firstLineChars="200"/>
        <w:rPr>
          <w:sz w:val="24"/>
        </w:rPr>
      </w:pPr>
      <w:r>
        <w:rPr>
          <w:sz w:val="24"/>
        </w:rPr>
        <w:t>1）钻孔灌注桩</w:t>
      </w:r>
    </w:p>
    <w:p>
      <w:pPr>
        <w:adjustRightInd w:val="0"/>
        <w:snapToGrid w:val="0"/>
        <w:spacing w:line="360" w:lineRule="auto"/>
        <w:ind w:firstLine="480" w:firstLineChars="200"/>
        <w:rPr>
          <w:sz w:val="24"/>
        </w:rPr>
      </w:pPr>
      <w:r>
        <w:rPr>
          <w:sz w:val="24"/>
        </w:rPr>
        <w:t>钻孔设备钻孔后，用钢筋混凝土浇灌。浇灌时用光元钢做导杆，放入钢筋笼（架），用溜筒注放预先拌制均匀的混凝土。浇注时应随灌、随振、随提棒，振捣均匀，不满振、不过振，防止混凝土不实和素浆上浮。</w:t>
      </w:r>
    </w:p>
    <w:p>
      <w:pPr>
        <w:adjustRightInd w:val="0"/>
        <w:snapToGrid w:val="0"/>
        <w:spacing w:line="360" w:lineRule="auto"/>
        <w:jc w:val="center"/>
        <w:rPr>
          <w:sz w:val="24"/>
        </w:rPr>
      </w:pPr>
      <w:r>
        <w:object>
          <v:shape id="_x0000_i1028" o:spt="75" type="#_x0000_t75" style="height:540.75pt;width:350.9pt;" o:ole="t" filled="f" stroked="f" coordsize="21600,21600">
            <v:path/>
            <v:fill on="f" focussize="0,0"/>
            <v:stroke on="f"/>
            <v:imagedata r:id="rId13" o:title=""/>
            <o:lock v:ext="edit" aspectratio="t"/>
            <w10:wrap type="none"/>
            <w10:anchorlock/>
          </v:shape>
          <o:OLEObject Type="Embed" ProgID="Visio.Drawing.11" ShapeID="_x0000_i1028" DrawAspect="Content" ObjectID="_1468075727" r:id="rId12"/>
        </w:object>
      </w:r>
    </w:p>
    <w:p>
      <w:pPr>
        <w:adjustRightInd w:val="0"/>
        <w:snapToGrid w:val="0"/>
        <w:spacing w:line="360" w:lineRule="auto"/>
        <w:rPr>
          <w:sz w:val="24"/>
        </w:rPr>
      </w:pPr>
      <w:r>
        <w:rPr>
          <w:sz w:val="22"/>
        </w:rPr>
        <w:t>*说明：附属工程包括道路、围墙、窨井、下水道等。</w:t>
      </w:r>
    </w:p>
    <w:p>
      <w:pPr>
        <w:pStyle w:val="33"/>
        <w:adjustRightInd w:val="0"/>
        <w:snapToGrid w:val="0"/>
        <w:spacing w:after="78" w:afterLines="25" w:line="240" w:lineRule="auto"/>
        <w:ind w:left="0" w:leftChars="0"/>
        <w:jc w:val="center"/>
        <w:rPr>
          <w:b/>
          <w:sz w:val="24"/>
        </w:rPr>
      </w:pPr>
      <w:r>
        <w:rPr>
          <w:b/>
          <w:sz w:val="24"/>
        </w:rPr>
        <w:t>图</w:t>
      </w:r>
      <w:r>
        <w:rPr>
          <w:rFonts w:hint="eastAsia"/>
          <w:b/>
          <w:sz w:val="24"/>
        </w:rPr>
        <w:t>2</w:t>
      </w:r>
      <w:r>
        <w:rPr>
          <w:b/>
          <w:sz w:val="24"/>
        </w:rPr>
        <w:t>.</w:t>
      </w:r>
      <w:r>
        <w:rPr>
          <w:rFonts w:hint="eastAsia"/>
          <w:b/>
          <w:sz w:val="24"/>
        </w:rPr>
        <w:t>5</w:t>
      </w:r>
      <w:r>
        <w:rPr>
          <w:b/>
          <w:sz w:val="24"/>
        </w:rPr>
        <w:t>-1  施工期建筑工艺流程及产污环节图</w:t>
      </w:r>
    </w:p>
    <w:p>
      <w:pPr>
        <w:adjustRightInd w:val="0"/>
        <w:snapToGrid w:val="0"/>
        <w:spacing w:line="360" w:lineRule="auto"/>
        <w:ind w:firstLine="480" w:firstLineChars="200"/>
        <w:rPr>
          <w:sz w:val="24"/>
        </w:rPr>
      </w:pPr>
      <w:r>
        <w:rPr>
          <w:sz w:val="24"/>
        </w:rPr>
        <w:t>此过程主要污染物为施工机械产生的噪声、粉尘和排放的尾气，拌制混凝土时的砂浆水和工人的生活污水。</w:t>
      </w:r>
    </w:p>
    <w:p>
      <w:pPr>
        <w:adjustRightInd w:val="0"/>
        <w:snapToGrid w:val="0"/>
        <w:spacing w:line="360" w:lineRule="auto"/>
        <w:ind w:firstLine="480" w:firstLineChars="200"/>
        <w:rPr>
          <w:sz w:val="24"/>
        </w:rPr>
      </w:pPr>
      <w:r>
        <w:rPr>
          <w:sz w:val="24"/>
        </w:rPr>
        <w:t>2）现浇钢砼柱、梁</w:t>
      </w:r>
    </w:p>
    <w:p>
      <w:pPr>
        <w:adjustRightInd w:val="0"/>
        <w:snapToGrid w:val="0"/>
        <w:spacing w:line="360" w:lineRule="auto"/>
        <w:ind w:firstLine="480" w:firstLineChars="200"/>
        <w:rPr>
          <w:sz w:val="24"/>
        </w:rPr>
      </w:pPr>
      <w:r>
        <w:rPr>
          <w:sz w:val="24"/>
        </w:rPr>
        <w:t>根据施工图纸，首先进行钢筋的配料和加工，钢筋加工主要包括调直、下料剪切、接长、弯曲等物理过程，然后进行钢筋的绑扎，安装于架好模板之处。</w:t>
      </w:r>
    </w:p>
    <w:p>
      <w:pPr>
        <w:adjustRightInd w:val="0"/>
        <w:snapToGrid w:val="0"/>
        <w:spacing w:line="360" w:lineRule="auto"/>
        <w:ind w:firstLine="480" w:firstLineChars="200"/>
        <w:rPr>
          <w:sz w:val="24"/>
        </w:rPr>
      </w:pPr>
      <w:r>
        <w:rPr>
          <w:sz w:val="24"/>
        </w:rPr>
        <w:t>混凝土要求均使用商品混凝土，尽可能及时连续进行浇筑，在下一层初凝前，将上一层混凝土灌下，并捣实使上下层紧密结合。</w:t>
      </w:r>
    </w:p>
    <w:p>
      <w:pPr>
        <w:adjustRightInd w:val="0"/>
        <w:snapToGrid w:val="0"/>
        <w:spacing w:line="360" w:lineRule="auto"/>
        <w:ind w:firstLine="480" w:firstLineChars="200"/>
        <w:rPr>
          <w:sz w:val="24"/>
        </w:rPr>
      </w:pPr>
      <w:r>
        <w:rPr>
          <w:sz w:val="24"/>
        </w:rPr>
        <w:t>混凝土成型后，为了保证水泥水化作用能正常进行，采用浇水养护，防止水份过早蒸发或冻结。</w:t>
      </w:r>
    </w:p>
    <w:p>
      <w:pPr>
        <w:adjustRightInd w:val="0"/>
        <w:snapToGrid w:val="0"/>
        <w:spacing w:line="360" w:lineRule="auto"/>
        <w:ind w:firstLine="480" w:firstLineChars="200"/>
        <w:rPr>
          <w:sz w:val="24"/>
        </w:rPr>
      </w:pPr>
      <w:r>
        <w:rPr>
          <w:sz w:val="24"/>
        </w:rPr>
        <w:t>主要污染物是机械产生的噪声、尾气、养护用水和工人的生活污水，废钢筋等。</w:t>
      </w:r>
    </w:p>
    <w:p>
      <w:pPr>
        <w:adjustRightInd w:val="0"/>
        <w:snapToGrid w:val="0"/>
        <w:spacing w:line="360" w:lineRule="auto"/>
        <w:ind w:firstLine="480" w:firstLineChars="200"/>
        <w:rPr>
          <w:sz w:val="24"/>
        </w:rPr>
      </w:pPr>
      <w:r>
        <w:rPr>
          <w:sz w:val="24"/>
        </w:rPr>
        <w:t>3）砖墙切筑</w:t>
      </w:r>
    </w:p>
    <w:p>
      <w:pPr>
        <w:adjustRightInd w:val="0"/>
        <w:snapToGrid w:val="0"/>
        <w:spacing w:line="360" w:lineRule="auto"/>
        <w:ind w:firstLine="480" w:firstLineChars="200"/>
        <w:rPr>
          <w:sz w:val="24"/>
        </w:rPr>
      </w:pPr>
      <w:r>
        <w:rPr>
          <w:sz w:val="24"/>
        </w:rPr>
        <w:t>首先进行水泥砂浆的调配，用水泥砂浆抄平钢砼柱、梁的基面，利用经纬仪、垂球和龙门板放线，并弹出纵横墙边线。然后在弹好线的基面上按选定的组砌方式进行摆脚，立好匹数杆，再据此挂线砌筑。一般采用铺灰挤砌法和铲灰挤砌法，砖墙砌筑完毕后，进行勾缝隙。</w:t>
      </w:r>
    </w:p>
    <w:p>
      <w:pPr>
        <w:adjustRightInd w:val="0"/>
        <w:snapToGrid w:val="0"/>
        <w:spacing w:line="360" w:lineRule="auto"/>
        <w:ind w:firstLine="480" w:firstLineChars="200"/>
        <w:rPr>
          <w:sz w:val="24"/>
        </w:rPr>
      </w:pPr>
      <w:r>
        <w:rPr>
          <w:sz w:val="24"/>
        </w:rPr>
        <w:t>该工段和现浇钢砼柱、梁工段施工期长，是施工期的主体工程。主要污染物是机械产生的噪声、尾气，拌制砂浆时的砂浆水和工人的生活污水，碎砖和废砂浆等固废。</w:t>
      </w:r>
    </w:p>
    <w:p>
      <w:pPr>
        <w:adjustRightInd w:val="0"/>
        <w:snapToGrid w:val="0"/>
        <w:spacing w:line="360" w:lineRule="auto"/>
        <w:ind w:firstLine="480" w:firstLineChars="200"/>
        <w:rPr>
          <w:sz w:val="24"/>
        </w:rPr>
      </w:pPr>
      <w:r>
        <w:rPr>
          <w:sz w:val="24"/>
        </w:rPr>
        <w:t>3、装饰工程</w:t>
      </w:r>
    </w:p>
    <w:p>
      <w:pPr>
        <w:adjustRightInd w:val="0"/>
        <w:snapToGrid w:val="0"/>
        <w:spacing w:line="360" w:lineRule="auto"/>
        <w:ind w:firstLine="480" w:firstLineChars="200"/>
        <w:rPr>
          <w:sz w:val="24"/>
        </w:rPr>
      </w:pPr>
      <w:r>
        <w:rPr>
          <w:sz w:val="24"/>
        </w:rPr>
        <w:t>1）门窗制作</w:t>
      </w:r>
    </w:p>
    <w:p>
      <w:pPr>
        <w:adjustRightInd w:val="0"/>
        <w:snapToGrid w:val="0"/>
        <w:spacing w:line="360" w:lineRule="auto"/>
        <w:ind w:firstLine="480" w:firstLineChars="200"/>
        <w:rPr>
          <w:sz w:val="24"/>
        </w:rPr>
      </w:pPr>
      <w:r>
        <w:rPr>
          <w:sz w:val="24"/>
        </w:rPr>
        <w:t>利用各种加工器械对钢、塑钢等按图进行加工，主要污染物是加工器械产生的噪声，工人的生活污水，各种废弃的下角料等。</w:t>
      </w:r>
    </w:p>
    <w:p>
      <w:pPr>
        <w:adjustRightInd w:val="0"/>
        <w:snapToGrid w:val="0"/>
        <w:spacing w:line="360" w:lineRule="auto"/>
        <w:ind w:firstLine="480" w:firstLineChars="200"/>
        <w:rPr>
          <w:sz w:val="24"/>
        </w:rPr>
      </w:pPr>
      <w:r>
        <w:rPr>
          <w:sz w:val="24"/>
        </w:rPr>
        <w:t>2）屋面制作</w:t>
      </w:r>
    </w:p>
    <w:p>
      <w:pPr>
        <w:adjustRightInd w:val="0"/>
        <w:snapToGrid w:val="0"/>
        <w:spacing w:line="360" w:lineRule="auto"/>
        <w:ind w:firstLine="480" w:firstLineChars="200"/>
        <w:rPr>
          <w:sz w:val="24"/>
        </w:rPr>
      </w:pPr>
      <w:r>
        <w:rPr>
          <w:sz w:val="24"/>
        </w:rPr>
        <w:t>屋面由结构层、防水层和保护层组成。防水层一般有柔性防水、刚性防水和涂料防水三种做法，本项目采用柔性防水。</w:t>
      </w:r>
    </w:p>
    <w:p>
      <w:pPr>
        <w:adjustRightInd w:val="0"/>
        <w:snapToGrid w:val="0"/>
        <w:spacing w:line="360" w:lineRule="auto"/>
        <w:ind w:firstLine="480" w:firstLineChars="200"/>
        <w:rPr>
          <w:sz w:val="24"/>
        </w:rPr>
      </w:pPr>
      <w:r>
        <w:rPr>
          <w:sz w:val="24"/>
        </w:rPr>
        <w:t>平屋面做法是在现浇制板上刷一道结合水泥浆，851隔气层一道，用水泥珍珠岩建隔热层，再抹20~30 mm厚、内掺5%防水剂的水泥砂浆，表面罩一层1:6:8的防水水泥浆（防水剂：水：水泥）。防水剂选用高分子防水卷材。</w:t>
      </w:r>
    </w:p>
    <w:p>
      <w:pPr>
        <w:adjustRightInd w:val="0"/>
        <w:snapToGrid w:val="0"/>
        <w:spacing w:line="360" w:lineRule="auto"/>
        <w:ind w:firstLine="480" w:firstLineChars="200"/>
        <w:rPr>
          <w:sz w:val="24"/>
        </w:rPr>
      </w:pPr>
      <w:r>
        <w:rPr>
          <w:sz w:val="24"/>
        </w:rPr>
        <w:t>主要污染物是机械的噪声、尾气，拌制砂浆时的砂浆水和工人的生活污水，碎砖瓦、废砂浆和废弃的防水剂包装桶等固废。</w:t>
      </w:r>
    </w:p>
    <w:p>
      <w:pPr>
        <w:adjustRightInd w:val="0"/>
        <w:snapToGrid w:val="0"/>
        <w:spacing w:line="360" w:lineRule="auto"/>
        <w:ind w:firstLine="480" w:firstLineChars="200"/>
        <w:rPr>
          <w:sz w:val="24"/>
        </w:rPr>
      </w:pPr>
      <w:r>
        <w:rPr>
          <w:sz w:val="24"/>
        </w:rPr>
        <w:t>3）管线安装</w:t>
      </w:r>
    </w:p>
    <w:p>
      <w:pPr>
        <w:adjustRightInd w:val="0"/>
        <w:snapToGrid w:val="0"/>
        <w:spacing w:line="360" w:lineRule="auto"/>
        <w:ind w:firstLine="480" w:firstLineChars="200"/>
        <w:rPr>
          <w:sz w:val="24"/>
        </w:rPr>
      </w:pPr>
      <w:r>
        <w:rPr>
          <w:sz w:val="24"/>
        </w:rPr>
        <w:t>先对管线途经墙壁进行穿孔，对各房间的水、电、管煤等管线进行安装，然后将其固定在墙壁上。</w:t>
      </w:r>
    </w:p>
    <w:p>
      <w:pPr>
        <w:adjustRightInd w:val="0"/>
        <w:snapToGrid w:val="0"/>
        <w:spacing w:line="360" w:lineRule="auto"/>
        <w:ind w:firstLine="480" w:firstLineChars="200"/>
        <w:rPr>
          <w:sz w:val="24"/>
        </w:rPr>
      </w:pPr>
      <w:r>
        <w:rPr>
          <w:sz w:val="24"/>
        </w:rPr>
        <w:t>主要污染物是对墙壁进行敲打、钻孔时产生的噪声、粉尘，以及碎砖块等固废。</w:t>
      </w:r>
    </w:p>
    <w:p>
      <w:pPr>
        <w:adjustRightInd w:val="0"/>
        <w:snapToGrid w:val="0"/>
        <w:spacing w:line="360" w:lineRule="auto"/>
        <w:ind w:firstLine="480" w:firstLineChars="200"/>
        <w:rPr>
          <w:sz w:val="24"/>
        </w:rPr>
      </w:pPr>
      <w:r>
        <w:rPr>
          <w:sz w:val="24"/>
        </w:rPr>
        <w:t>4）抹灰、贴面</w:t>
      </w:r>
    </w:p>
    <w:p>
      <w:pPr>
        <w:adjustRightInd w:val="0"/>
        <w:snapToGrid w:val="0"/>
        <w:spacing w:line="360" w:lineRule="auto"/>
        <w:ind w:firstLine="480" w:firstLineChars="200"/>
        <w:rPr>
          <w:sz w:val="24"/>
        </w:rPr>
      </w:pPr>
      <w:r>
        <w:rPr>
          <w:sz w:val="24"/>
        </w:rPr>
        <w:t>抹灰先外墙后内墙。外墙由上而下，先阳角线、台口线，后抹窗台和墙面。</w:t>
      </w:r>
    </w:p>
    <w:p>
      <w:pPr>
        <w:adjustRightInd w:val="0"/>
        <w:snapToGrid w:val="0"/>
        <w:spacing w:line="360" w:lineRule="auto"/>
        <w:ind w:firstLine="480" w:firstLineChars="200"/>
        <w:rPr>
          <w:sz w:val="24"/>
        </w:rPr>
      </w:pPr>
      <w:r>
        <w:rPr>
          <w:sz w:val="24"/>
        </w:rPr>
        <w:t>主要污染物是机械的噪声、尾气，拌制砂浆时的砂浆水和工人的生活污水，废砂浆和废弃的涂料及包装桶等固废。</w:t>
      </w:r>
    </w:p>
    <w:p>
      <w:pPr>
        <w:adjustRightInd w:val="0"/>
        <w:snapToGrid w:val="0"/>
        <w:spacing w:line="360" w:lineRule="auto"/>
        <w:ind w:firstLine="480" w:firstLineChars="200"/>
        <w:rPr>
          <w:sz w:val="24"/>
        </w:rPr>
      </w:pPr>
      <w:r>
        <w:rPr>
          <w:sz w:val="24"/>
        </w:rPr>
        <w:t>5）油漆粉刷</w:t>
      </w:r>
    </w:p>
    <w:p>
      <w:pPr>
        <w:adjustRightInd w:val="0"/>
        <w:snapToGrid w:val="0"/>
        <w:spacing w:line="360" w:lineRule="auto"/>
        <w:ind w:firstLine="480" w:firstLineChars="200"/>
        <w:rPr>
          <w:sz w:val="24"/>
        </w:rPr>
      </w:pPr>
      <w:r>
        <w:rPr>
          <w:sz w:val="24"/>
        </w:rPr>
        <w:t>本项目仅对外露的铁件进行油漆粉刷，先刷防锈底漆，再刷两遍调和漆。因需进行油漆作业的工件很少，油漆使用量较少，施工期短，挥发的有机废气量小，且呈无组织面源排放模式，对周围环境的影响是暂时和局部的，可不做统计。</w:t>
      </w:r>
    </w:p>
    <w:p>
      <w:pPr>
        <w:adjustRightInd w:val="0"/>
        <w:snapToGrid w:val="0"/>
        <w:spacing w:line="360" w:lineRule="auto"/>
        <w:ind w:firstLine="480" w:firstLineChars="200"/>
        <w:rPr>
          <w:sz w:val="24"/>
        </w:rPr>
      </w:pPr>
      <w:r>
        <w:rPr>
          <w:sz w:val="24"/>
        </w:rPr>
        <w:t>4、设备安装</w:t>
      </w:r>
    </w:p>
    <w:p>
      <w:pPr>
        <w:adjustRightInd w:val="0"/>
        <w:snapToGrid w:val="0"/>
        <w:spacing w:line="360" w:lineRule="auto"/>
        <w:ind w:firstLine="480" w:firstLineChars="200"/>
        <w:rPr>
          <w:sz w:val="24"/>
        </w:rPr>
      </w:pPr>
      <w:r>
        <w:rPr>
          <w:sz w:val="24"/>
        </w:rPr>
        <w:t>包括道路、围墙、窖井、下水道等施工，主要污染物是施工机械的噪声、尾气，拌制砂浆时的砂浆水和工人的生活污水，废砂浆和废弃的下角料等固废。</w:t>
      </w:r>
    </w:p>
    <w:p>
      <w:pPr>
        <w:adjustRightInd w:val="0"/>
        <w:snapToGrid w:val="0"/>
        <w:spacing w:line="360" w:lineRule="auto"/>
        <w:ind w:firstLine="480" w:firstLineChars="200"/>
        <w:rPr>
          <w:sz w:val="24"/>
        </w:rPr>
      </w:pPr>
      <w:r>
        <w:rPr>
          <w:sz w:val="24"/>
        </w:rPr>
        <w:t>根据施工工艺流程及产污环节图，综合各个施工阶段的特点，施工期主要的环境影响有以下几点：</w:t>
      </w:r>
    </w:p>
    <w:p>
      <w:pPr>
        <w:adjustRightInd w:val="0"/>
        <w:snapToGrid w:val="0"/>
        <w:spacing w:line="360" w:lineRule="auto"/>
        <w:ind w:firstLine="480" w:firstLineChars="200"/>
        <w:rPr>
          <w:sz w:val="24"/>
        </w:rPr>
      </w:pPr>
      <w:r>
        <w:rPr>
          <w:sz w:val="24"/>
        </w:rPr>
        <w:t>1）施工期间水环境影响</w:t>
      </w:r>
    </w:p>
    <w:p>
      <w:pPr>
        <w:adjustRightInd w:val="0"/>
        <w:snapToGrid w:val="0"/>
        <w:spacing w:line="360" w:lineRule="auto"/>
        <w:ind w:firstLine="480" w:firstLineChars="200"/>
        <w:rPr>
          <w:sz w:val="24"/>
        </w:rPr>
      </w:pPr>
      <w:r>
        <w:rPr>
          <w:sz w:val="24"/>
        </w:rPr>
        <w:t>主要是施工过程中施工人员排放的生活废水对水环境产生的影响。</w:t>
      </w:r>
    </w:p>
    <w:p>
      <w:pPr>
        <w:adjustRightInd w:val="0"/>
        <w:snapToGrid w:val="0"/>
        <w:spacing w:line="360" w:lineRule="auto"/>
        <w:ind w:firstLine="480" w:firstLineChars="200"/>
        <w:rPr>
          <w:sz w:val="24"/>
        </w:rPr>
      </w:pPr>
      <w:r>
        <w:rPr>
          <w:sz w:val="24"/>
        </w:rPr>
        <w:t>2）施工期间大气环境影响</w:t>
      </w:r>
    </w:p>
    <w:p>
      <w:pPr>
        <w:adjustRightInd w:val="0"/>
        <w:snapToGrid w:val="0"/>
        <w:spacing w:line="360" w:lineRule="auto"/>
        <w:ind w:firstLine="480" w:firstLineChars="200"/>
        <w:rPr>
          <w:sz w:val="24"/>
        </w:rPr>
      </w:pPr>
      <w:r>
        <w:rPr>
          <w:sz w:val="24"/>
        </w:rPr>
        <w:t>主要包括土石方施工过程中产生的扬尘、施工动力机械，如汽车、推土机等机械排放的废气、施工产生的粉尘等对施工现场及附近大气环境产生的不利影响。</w:t>
      </w:r>
    </w:p>
    <w:p>
      <w:pPr>
        <w:adjustRightInd w:val="0"/>
        <w:snapToGrid w:val="0"/>
        <w:spacing w:line="360" w:lineRule="auto"/>
        <w:ind w:firstLine="480" w:firstLineChars="200"/>
        <w:rPr>
          <w:sz w:val="24"/>
        </w:rPr>
      </w:pPr>
      <w:r>
        <w:rPr>
          <w:sz w:val="24"/>
        </w:rPr>
        <w:t>3）施工期间噪声环境影响</w:t>
      </w:r>
    </w:p>
    <w:p>
      <w:pPr>
        <w:adjustRightInd w:val="0"/>
        <w:snapToGrid w:val="0"/>
        <w:spacing w:line="360" w:lineRule="auto"/>
        <w:ind w:firstLine="480" w:firstLineChars="200"/>
        <w:rPr>
          <w:sz w:val="24"/>
        </w:rPr>
      </w:pPr>
      <w:r>
        <w:rPr>
          <w:sz w:val="24"/>
        </w:rPr>
        <w:t>各种施工机械，如运输汽车、推土机、挖掘机等均可产生较强烈的噪声。虽然这些施工机械噪声属非连续性间歇排放，但由于噪声源相对集中，且多为裸露声源，故其噪声幅射范围及影响程度都较大。</w:t>
      </w:r>
    </w:p>
    <w:p>
      <w:pPr>
        <w:adjustRightInd w:val="0"/>
        <w:snapToGrid w:val="0"/>
        <w:spacing w:line="360" w:lineRule="auto"/>
        <w:ind w:firstLine="480" w:firstLineChars="200"/>
        <w:rPr>
          <w:sz w:val="24"/>
        </w:rPr>
      </w:pPr>
      <w:r>
        <w:rPr>
          <w:sz w:val="24"/>
        </w:rPr>
        <w:t>4）施工期间产生的固废影响</w:t>
      </w:r>
    </w:p>
    <w:p>
      <w:pPr>
        <w:adjustRightInd w:val="0"/>
        <w:snapToGrid w:val="0"/>
        <w:spacing w:line="360" w:lineRule="auto"/>
        <w:ind w:firstLine="480" w:firstLineChars="200"/>
        <w:rPr>
          <w:sz w:val="24"/>
        </w:rPr>
      </w:pPr>
      <w:r>
        <w:rPr>
          <w:sz w:val="24"/>
        </w:rPr>
        <w:t>施工期间由施工人员带来的生活垃圾以及施工过程中产生的建筑废料对环境的影响。</w:t>
      </w:r>
    </w:p>
    <w:p>
      <w:pPr>
        <w:pStyle w:val="4"/>
        <w:adjustRightInd w:val="0"/>
        <w:snapToGrid w:val="0"/>
        <w:spacing w:before="0" w:after="0" w:line="360" w:lineRule="auto"/>
        <w:rPr>
          <w:bCs w:val="0"/>
          <w:sz w:val="24"/>
          <w:szCs w:val="24"/>
        </w:rPr>
      </w:pPr>
      <w:bookmarkStart w:id="111" w:name="_Toc435690408"/>
      <w:r>
        <w:rPr>
          <w:rFonts w:hint="eastAsia"/>
          <w:bCs w:val="0"/>
          <w:sz w:val="24"/>
          <w:szCs w:val="24"/>
        </w:rPr>
        <w:t>2.5.2施工期</w:t>
      </w:r>
      <w:r>
        <w:rPr>
          <w:bCs w:val="0"/>
          <w:sz w:val="24"/>
          <w:szCs w:val="24"/>
        </w:rPr>
        <w:t>水</w:t>
      </w:r>
      <w:r>
        <w:rPr>
          <w:rFonts w:hint="eastAsia"/>
          <w:bCs w:val="0"/>
          <w:sz w:val="24"/>
          <w:szCs w:val="24"/>
        </w:rPr>
        <w:t>环境影响分析及污染防治措施</w:t>
      </w:r>
      <w:bookmarkEnd w:id="111"/>
    </w:p>
    <w:p>
      <w:pPr>
        <w:adjustRightInd w:val="0"/>
        <w:snapToGrid w:val="0"/>
        <w:spacing w:line="360" w:lineRule="auto"/>
        <w:ind w:firstLine="480" w:firstLineChars="200"/>
        <w:rPr>
          <w:sz w:val="24"/>
        </w:rPr>
      </w:pPr>
      <w:r>
        <w:rPr>
          <w:sz w:val="24"/>
        </w:rPr>
        <w:t>本项目施工期间的水污染来源包括生活污水与建筑施工废水两个方面。</w:t>
      </w:r>
    </w:p>
    <w:p>
      <w:pPr>
        <w:adjustRightInd w:val="0"/>
        <w:snapToGrid w:val="0"/>
        <w:spacing w:line="360" w:lineRule="auto"/>
        <w:ind w:firstLine="480" w:firstLineChars="200"/>
        <w:rPr>
          <w:sz w:val="24"/>
        </w:rPr>
      </w:pPr>
      <w:r>
        <w:rPr>
          <w:sz w:val="24"/>
        </w:rPr>
        <w:t>1、生活污水</w:t>
      </w:r>
    </w:p>
    <w:p>
      <w:pPr>
        <w:adjustRightInd w:val="0"/>
        <w:snapToGrid w:val="0"/>
        <w:spacing w:line="360" w:lineRule="auto"/>
        <w:ind w:firstLine="480" w:firstLineChars="200"/>
        <w:rPr>
          <w:sz w:val="24"/>
        </w:rPr>
      </w:pPr>
      <w:r>
        <w:rPr>
          <w:sz w:val="24"/>
        </w:rPr>
        <w:t>本项目施工期废水主要来自施工人员的生活污水，包括粪便污水、清洗污水等，其主要污染因子为COD、NH</w:t>
      </w:r>
      <w:r>
        <w:rPr>
          <w:sz w:val="24"/>
          <w:vertAlign w:val="subscript"/>
        </w:rPr>
        <w:t>3</w:t>
      </w:r>
      <w:r>
        <w:rPr>
          <w:sz w:val="24"/>
        </w:rPr>
        <w:t>-N、SS和TP，其中以粪便污水中的污染物数量最高。</w:t>
      </w:r>
    </w:p>
    <w:p>
      <w:pPr>
        <w:adjustRightInd w:val="0"/>
        <w:snapToGrid w:val="0"/>
        <w:spacing w:line="360" w:lineRule="auto"/>
        <w:ind w:firstLine="480" w:firstLineChars="200"/>
        <w:rPr>
          <w:sz w:val="24"/>
        </w:rPr>
      </w:pPr>
      <w:r>
        <w:rPr>
          <w:sz w:val="24"/>
        </w:rPr>
        <w:t>施工期的生活污水排放污染物源强预测公式为：</w:t>
      </w:r>
    </w:p>
    <w:p>
      <w:pPr>
        <w:adjustRightInd w:val="0"/>
        <w:snapToGrid w:val="0"/>
        <w:spacing w:line="360" w:lineRule="auto"/>
        <w:ind w:firstLine="480" w:firstLineChars="200"/>
        <w:jc w:val="center"/>
        <w:rPr>
          <w:sz w:val="24"/>
        </w:rPr>
      </w:pPr>
      <w:r>
        <w:rPr>
          <w:i/>
          <w:sz w:val="24"/>
        </w:rPr>
        <w:t>Q</w:t>
      </w:r>
      <w:r>
        <w:rPr>
          <w:i/>
          <w:sz w:val="24"/>
          <w:vertAlign w:val="subscript"/>
        </w:rPr>
        <w:t>i</w:t>
      </w:r>
      <w:r>
        <w:rPr>
          <w:sz w:val="24"/>
        </w:rPr>
        <w:t>=</w:t>
      </w:r>
      <w:r>
        <w:rPr>
          <w:i/>
          <w:sz w:val="24"/>
        </w:rPr>
        <w:t>A</w:t>
      </w:r>
      <w:r>
        <w:rPr>
          <w:sz w:val="24"/>
        </w:rPr>
        <w:t>•</w:t>
      </w:r>
      <w:r>
        <w:rPr>
          <w:i/>
          <w:sz w:val="24"/>
        </w:rPr>
        <w:t>C</w:t>
      </w:r>
      <w:r>
        <w:rPr>
          <w:i/>
          <w:sz w:val="24"/>
          <w:vertAlign w:val="subscript"/>
        </w:rPr>
        <w:t>i</w:t>
      </w:r>
    </w:p>
    <w:p>
      <w:pPr>
        <w:adjustRightInd w:val="0"/>
        <w:snapToGrid w:val="0"/>
        <w:spacing w:line="360" w:lineRule="auto"/>
        <w:ind w:firstLine="480" w:firstLineChars="200"/>
        <w:rPr>
          <w:sz w:val="24"/>
        </w:rPr>
      </w:pPr>
      <w:r>
        <w:rPr>
          <w:sz w:val="24"/>
        </w:rPr>
        <w:t>式中：</w:t>
      </w:r>
      <w:r>
        <w:rPr>
          <w:i/>
          <w:sz w:val="24"/>
        </w:rPr>
        <w:t>A</w:t>
      </w:r>
      <w:r>
        <w:rPr>
          <w:sz w:val="24"/>
        </w:rPr>
        <w:t>——施工人数；</w:t>
      </w:r>
    </w:p>
    <w:p>
      <w:pPr>
        <w:adjustRightInd w:val="0"/>
        <w:snapToGrid w:val="0"/>
        <w:spacing w:line="360" w:lineRule="auto"/>
        <w:ind w:firstLine="1133" w:firstLineChars="472"/>
        <w:rPr>
          <w:sz w:val="24"/>
        </w:rPr>
      </w:pPr>
      <w:r>
        <w:rPr>
          <w:i/>
          <w:sz w:val="24"/>
        </w:rPr>
        <w:t>C</w:t>
      </w:r>
      <w:r>
        <w:rPr>
          <w:i/>
          <w:sz w:val="24"/>
          <w:vertAlign w:val="subscript"/>
        </w:rPr>
        <w:t>i</w:t>
      </w:r>
      <w:r>
        <w:rPr>
          <w:sz w:val="24"/>
        </w:rPr>
        <w:t>——污染物单人排放系数（L/d•人）。</w:t>
      </w:r>
    </w:p>
    <w:p>
      <w:pPr>
        <w:adjustRightInd w:val="0"/>
        <w:snapToGrid w:val="0"/>
        <w:spacing w:line="360" w:lineRule="auto"/>
        <w:ind w:firstLine="480" w:firstLineChars="200"/>
        <w:rPr>
          <w:sz w:val="24"/>
        </w:rPr>
      </w:pPr>
      <w:r>
        <w:rPr>
          <w:sz w:val="24"/>
        </w:rPr>
        <w:t>生活污水量以100 L/人•天计，根据本项目的性质和规模，类比同类工程的情况，初步估计建设项目共计需要施工人员在120人左右，故总生活污水产生量为12 t/d。</w:t>
      </w:r>
    </w:p>
    <w:p>
      <w:pPr>
        <w:adjustRightInd w:val="0"/>
        <w:snapToGrid w:val="0"/>
        <w:spacing w:line="360" w:lineRule="auto"/>
        <w:ind w:firstLine="480" w:firstLineChars="200"/>
        <w:rPr>
          <w:sz w:val="24"/>
        </w:rPr>
      </w:pPr>
      <w:r>
        <w:rPr>
          <w:sz w:val="24"/>
        </w:rPr>
        <w:t>生活污水中的主要污染物及其含量一般为：COD 400 mg/L、NH</w:t>
      </w:r>
      <w:r>
        <w:rPr>
          <w:sz w:val="24"/>
          <w:vertAlign w:val="subscript"/>
        </w:rPr>
        <w:t>3</w:t>
      </w:r>
      <w:r>
        <w:rPr>
          <w:sz w:val="24"/>
        </w:rPr>
        <w:t>-N 30 mg/L、SS 250 mg/L、TP 3 mg/L。施工周期以2年计算，则建设项目施工阶段的主要水污染物及其产生量预测值见表</w:t>
      </w:r>
      <w:r>
        <w:rPr>
          <w:rFonts w:hint="eastAsia"/>
          <w:sz w:val="24"/>
        </w:rPr>
        <w:t>2</w:t>
      </w:r>
      <w:r>
        <w:rPr>
          <w:sz w:val="24"/>
        </w:rPr>
        <w:t>.</w:t>
      </w:r>
      <w:r>
        <w:rPr>
          <w:rFonts w:hint="eastAsia"/>
          <w:sz w:val="24"/>
        </w:rPr>
        <w:t>5</w:t>
      </w:r>
      <w:r>
        <w:rPr>
          <w:sz w:val="24"/>
        </w:rPr>
        <w:t>-1。建设项目施工期间生活污水产生总量不是很大，施工单位在施工现场设置临时厕所、食堂污水隔油池等简便生活污水处理设施进行预处理后接管周边市政污水管网。</w:t>
      </w:r>
    </w:p>
    <w:p>
      <w:pPr>
        <w:adjustRightInd w:val="0"/>
        <w:snapToGrid w:val="0"/>
        <w:jc w:val="center"/>
        <w:rPr>
          <w:b/>
        </w:rPr>
      </w:pPr>
      <w:r>
        <w:rPr>
          <w:b/>
        </w:rPr>
        <w:t>表</w:t>
      </w:r>
      <w:r>
        <w:rPr>
          <w:rFonts w:hint="eastAsia"/>
          <w:b/>
        </w:rPr>
        <w:t>2</w:t>
      </w:r>
      <w:r>
        <w:rPr>
          <w:b/>
        </w:rPr>
        <w:t>.</w:t>
      </w:r>
      <w:r>
        <w:rPr>
          <w:rFonts w:hint="eastAsia"/>
          <w:b/>
        </w:rPr>
        <w:t>5</w:t>
      </w:r>
      <w:r>
        <w:rPr>
          <w:b/>
        </w:rPr>
        <w:t>-1  施工期主要污染物及其产生量</w:t>
      </w:r>
    </w:p>
    <w:tbl>
      <w:tblPr>
        <w:tblStyle w:val="59"/>
        <w:tblW w:w="854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85"/>
        <w:gridCol w:w="2192"/>
        <w:gridCol w:w="2192"/>
        <w:gridCol w:w="20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6" w:hRule="atLeast"/>
        </w:trPr>
        <w:tc>
          <w:tcPr>
            <w:tcW w:w="2085" w:type="dxa"/>
            <w:vMerge w:val="restart"/>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主要污染物名称</w:t>
            </w:r>
          </w:p>
        </w:tc>
        <w:tc>
          <w:tcPr>
            <w:tcW w:w="2192" w:type="dxa"/>
            <w:vMerge w:val="restart"/>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浓度（mg/L）</w:t>
            </w:r>
          </w:p>
        </w:tc>
        <w:tc>
          <w:tcPr>
            <w:tcW w:w="4266" w:type="dxa"/>
            <w:gridSpan w:val="2"/>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产生量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75" w:hRule="atLeast"/>
        </w:trPr>
        <w:tc>
          <w:tcPr>
            <w:tcW w:w="2085" w:type="dxa"/>
            <w:vMerge w:val="continue"/>
            <w:vAlign w:val="center"/>
          </w:tcPr>
          <w:p>
            <w:pPr>
              <w:pStyle w:val="70"/>
              <w:rPr>
                <w:rFonts w:ascii="Times New Roman" w:hAnsi="Times New Roman" w:eastAsia="宋体"/>
                <w:sz w:val="21"/>
                <w:szCs w:val="21"/>
                <w:lang w:val="en-US" w:eastAsia="zh-CN"/>
              </w:rPr>
            </w:pPr>
          </w:p>
        </w:tc>
        <w:tc>
          <w:tcPr>
            <w:tcW w:w="2192" w:type="dxa"/>
            <w:vMerge w:val="continue"/>
            <w:vAlign w:val="center"/>
          </w:tcPr>
          <w:p>
            <w:pPr>
              <w:pStyle w:val="70"/>
              <w:rPr>
                <w:rFonts w:ascii="Times New Roman" w:hAnsi="Times New Roman" w:eastAsia="宋体"/>
                <w:sz w:val="21"/>
                <w:szCs w:val="21"/>
                <w:lang w:val="en-US" w:eastAsia="zh-CN"/>
              </w:rPr>
            </w:pPr>
          </w:p>
        </w:tc>
        <w:tc>
          <w:tcPr>
            <w:tcW w:w="2192"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日产生量（kg/d）</w:t>
            </w:r>
          </w:p>
        </w:tc>
        <w:tc>
          <w:tcPr>
            <w:tcW w:w="207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总产生量（t）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4" w:hRule="atLeast"/>
        </w:trPr>
        <w:tc>
          <w:tcPr>
            <w:tcW w:w="2085" w:type="dxa"/>
            <w:vAlign w:val="center"/>
          </w:tcPr>
          <w:p>
            <w:pPr>
              <w:pStyle w:val="70"/>
              <w:rPr>
                <w:rFonts w:ascii="Times New Roman" w:hAnsi="Times New Roman" w:eastAsia="宋体"/>
                <w:sz w:val="21"/>
                <w:szCs w:val="21"/>
                <w:lang w:val="en-US" w:eastAsia="zh-CN"/>
              </w:rPr>
            </w:pPr>
            <w:bookmarkStart w:id="112" w:name="OLE_LINK6" w:colFirst="2" w:colLast="3"/>
            <w:r>
              <w:rPr>
                <w:rFonts w:ascii="Times New Roman" w:hAnsi="Times New Roman" w:eastAsia="宋体"/>
                <w:sz w:val="21"/>
                <w:szCs w:val="21"/>
                <w:lang w:val="en-US" w:eastAsia="zh-CN"/>
              </w:rPr>
              <w:t>COD</w:t>
            </w:r>
          </w:p>
        </w:tc>
        <w:tc>
          <w:tcPr>
            <w:tcW w:w="2192"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400</w:t>
            </w:r>
          </w:p>
        </w:tc>
        <w:tc>
          <w:tcPr>
            <w:tcW w:w="2192" w:type="dxa"/>
            <w:vAlign w:val="center"/>
          </w:tcPr>
          <w:p>
            <w:pPr>
              <w:jc w:val="center"/>
              <w:rPr>
                <w:rFonts w:eastAsia="微软雅黑"/>
                <w:sz w:val="22"/>
                <w:szCs w:val="22"/>
              </w:rPr>
            </w:pPr>
            <w:r>
              <w:rPr>
                <w:rFonts w:eastAsia="微软雅黑"/>
                <w:sz w:val="22"/>
                <w:szCs w:val="22"/>
              </w:rPr>
              <w:t>4.80</w:t>
            </w:r>
          </w:p>
        </w:tc>
        <w:tc>
          <w:tcPr>
            <w:tcW w:w="2074" w:type="dxa"/>
            <w:vAlign w:val="center"/>
          </w:tcPr>
          <w:p>
            <w:pPr>
              <w:jc w:val="center"/>
              <w:rPr>
                <w:rFonts w:eastAsia="微软雅黑"/>
                <w:sz w:val="22"/>
                <w:szCs w:val="22"/>
              </w:rPr>
            </w:pPr>
            <w:r>
              <w:rPr>
                <w:rFonts w:eastAsia="微软雅黑"/>
                <w:sz w:val="22"/>
                <w:szCs w:val="22"/>
              </w:rPr>
              <w:t>2.88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3" w:hRule="atLeast"/>
        </w:trPr>
        <w:tc>
          <w:tcPr>
            <w:tcW w:w="2085"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NH</w:t>
            </w:r>
            <w:r>
              <w:rPr>
                <w:rFonts w:ascii="Times New Roman" w:hAnsi="Times New Roman" w:eastAsia="宋体"/>
                <w:sz w:val="21"/>
                <w:szCs w:val="21"/>
                <w:vertAlign w:val="subscript"/>
                <w:lang w:val="en-US" w:eastAsia="zh-CN"/>
              </w:rPr>
              <w:t>3</w:t>
            </w:r>
            <w:r>
              <w:rPr>
                <w:rFonts w:ascii="Times New Roman" w:hAnsi="Times New Roman" w:eastAsia="宋体"/>
                <w:sz w:val="21"/>
                <w:szCs w:val="21"/>
                <w:lang w:val="en-US" w:eastAsia="zh-CN"/>
              </w:rPr>
              <w:t>-N</w:t>
            </w:r>
          </w:p>
        </w:tc>
        <w:tc>
          <w:tcPr>
            <w:tcW w:w="2192"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30</w:t>
            </w:r>
          </w:p>
        </w:tc>
        <w:tc>
          <w:tcPr>
            <w:tcW w:w="2192" w:type="dxa"/>
            <w:vAlign w:val="center"/>
          </w:tcPr>
          <w:p>
            <w:pPr>
              <w:jc w:val="center"/>
              <w:rPr>
                <w:rFonts w:eastAsia="微软雅黑"/>
                <w:sz w:val="22"/>
                <w:szCs w:val="22"/>
              </w:rPr>
            </w:pPr>
            <w:r>
              <w:rPr>
                <w:rFonts w:eastAsia="微软雅黑"/>
                <w:sz w:val="22"/>
                <w:szCs w:val="22"/>
              </w:rPr>
              <w:t>0.36</w:t>
            </w:r>
          </w:p>
        </w:tc>
        <w:tc>
          <w:tcPr>
            <w:tcW w:w="2074" w:type="dxa"/>
            <w:vAlign w:val="center"/>
          </w:tcPr>
          <w:p>
            <w:pPr>
              <w:jc w:val="center"/>
              <w:rPr>
                <w:rFonts w:eastAsia="微软雅黑"/>
                <w:sz w:val="22"/>
                <w:szCs w:val="22"/>
              </w:rPr>
            </w:pPr>
            <w:r>
              <w:rPr>
                <w:rFonts w:eastAsia="微软雅黑"/>
                <w:sz w:val="22"/>
                <w:szCs w:val="22"/>
              </w:rPr>
              <w:t>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8" w:hRule="atLeast"/>
        </w:trPr>
        <w:tc>
          <w:tcPr>
            <w:tcW w:w="2085"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SS</w:t>
            </w:r>
          </w:p>
        </w:tc>
        <w:tc>
          <w:tcPr>
            <w:tcW w:w="2192"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250</w:t>
            </w:r>
          </w:p>
        </w:tc>
        <w:tc>
          <w:tcPr>
            <w:tcW w:w="2192" w:type="dxa"/>
            <w:vAlign w:val="center"/>
          </w:tcPr>
          <w:p>
            <w:pPr>
              <w:jc w:val="center"/>
              <w:rPr>
                <w:rFonts w:eastAsia="微软雅黑"/>
                <w:sz w:val="22"/>
                <w:szCs w:val="22"/>
              </w:rPr>
            </w:pPr>
            <w:r>
              <w:rPr>
                <w:rFonts w:eastAsia="微软雅黑"/>
                <w:sz w:val="22"/>
                <w:szCs w:val="22"/>
              </w:rPr>
              <w:t>3.00</w:t>
            </w:r>
          </w:p>
        </w:tc>
        <w:tc>
          <w:tcPr>
            <w:tcW w:w="2074" w:type="dxa"/>
            <w:vAlign w:val="center"/>
          </w:tcPr>
          <w:p>
            <w:pPr>
              <w:jc w:val="center"/>
              <w:rPr>
                <w:rFonts w:eastAsia="微软雅黑"/>
                <w:sz w:val="22"/>
                <w:szCs w:val="22"/>
              </w:rPr>
            </w:pPr>
            <w:r>
              <w:rPr>
                <w:rFonts w:eastAsia="微软雅黑"/>
                <w:sz w:val="22"/>
                <w:szCs w:val="22"/>
              </w:rPr>
              <w:t>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2" w:hRule="atLeast"/>
        </w:trPr>
        <w:tc>
          <w:tcPr>
            <w:tcW w:w="2085"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TP</w:t>
            </w:r>
          </w:p>
        </w:tc>
        <w:tc>
          <w:tcPr>
            <w:tcW w:w="2192"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3</w:t>
            </w:r>
          </w:p>
        </w:tc>
        <w:tc>
          <w:tcPr>
            <w:tcW w:w="2192" w:type="dxa"/>
            <w:vAlign w:val="center"/>
          </w:tcPr>
          <w:p>
            <w:pPr>
              <w:jc w:val="center"/>
              <w:rPr>
                <w:rFonts w:eastAsia="微软雅黑"/>
                <w:sz w:val="22"/>
                <w:szCs w:val="22"/>
              </w:rPr>
            </w:pPr>
            <w:r>
              <w:rPr>
                <w:rFonts w:eastAsia="微软雅黑"/>
                <w:sz w:val="22"/>
                <w:szCs w:val="22"/>
              </w:rPr>
              <w:t>0.0</w:t>
            </w:r>
            <w:r>
              <w:rPr>
                <w:rFonts w:hint="eastAsia" w:eastAsia="微软雅黑"/>
                <w:sz w:val="22"/>
                <w:szCs w:val="22"/>
              </w:rPr>
              <w:t>4</w:t>
            </w:r>
          </w:p>
        </w:tc>
        <w:tc>
          <w:tcPr>
            <w:tcW w:w="2074" w:type="dxa"/>
            <w:vAlign w:val="center"/>
          </w:tcPr>
          <w:p>
            <w:pPr>
              <w:jc w:val="center"/>
              <w:rPr>
                <w:rFonts w:eastAsia="微软雅黑"/>
                <w:sz w:val="22"/>
                <w:szCs w:val="22"/>
              </w:rPr>
            </w:pPr>
            <w:r>
              <w:rPr>
                <w:rFonts w:eastAsia="微软雅黑"/>
                <w:sz w:val="22"/>
                <w:szCs w:val="22"/>
              </w:rPr>
              <w:t>0.0</w:t>
            </w:r>
            <w:r>
              <w:rPr>
                <w:rFonts w:hint="eastAsia" w:eastAsia="微软雅黑"/>
                <w:sz w:val="22"/>
                <w:szCs w:val="22"/>
              </w:rPr>
              <w:t>2</w:t>
            </w:r>
          </w:p>
        </w:tc>
      </w:tr>
      <w:bookmarkEnd w:id="112"/>
    </w:tbl>
    <w:p>
      <w:pPr>
        <w:adjustRightInd w:val="0"/>
        <w:snapToGrid w:val="0"/>
        <w:spacing w:line="360" w:lineRule="auto"/>
        <w:rPr>
          <w:sz w:val="24"/>
        </w:rPr>
      </w:pPr>
    </w:p>
    <w:p>
      <w:pPr>
        <w:adjustRightInd w:val="0"/>
        <w:snapToGrid w:val="0"/>
        <w:spacing w:line="360" w:lineRule="auto"/>
        <w:ind w:firstLine="480" w:firstLineChars="200"/>
        <w:rPr>
          <w:sz w:val="24"/>
        </w:rPr>
      </w:pPr>
      <w:r>
        <w:rPr>
          <w:sz w:val="24"/>
        </w:rPr>
        <w:t>2、建筑施工废水</w:t>
      </w:r>
    </w:p>
    <w:p>
      <w:pPr>
        <w:adjustRightInd w:val="0"/>
        <w:snapToGrid w:val="0"/>
        <w:spacing w:line="360" w:lineRule="auto"/>
        <w:ind w:firstLine="480" w:firstLineChars="200"/>
        <w:rPr>
          <w:sz w:val="24"/>
        </w:rPr>
      </w:pPr>
      <w:r>
        <w:rPr>
          <w:sz w:val="24"/>
        </w:rPr>
        <w:t>建筑施工废水主要是施工期间产生的水泥搅拌等泥浆水，具有污水量小，泥砂含量高（泥砂含量与施工机械、工程性质及工程进度等有关，一般含量为80~120 g/L）的特点，且废水含有少量的废机油等污染物。</w:t>
      </w:r>
    </w:p>
    <w:p>
      <w:pPr>
        <w:adjustRightInd w:val="0"/>
        <w:snapToGrid w:val="0"/>
        <w:jc w:val="center"/>
        <w:rPr>
          <w:b/>
        </w:rPr>
      </w:pPr>
      <w:r>
        <w:rPr>
          <w:b/>
        </w:rPr>
        <w:t>表</w:t>
      </w:r>
      <w:r>
        <w:rPr>
          <w:rFonts w:hint="eastAsia"/>
          <w:b/>
        </w:rPr>
        <w:t>2</w:t>
      </w:r>
      <w:r>
        <w:rPr>
          <w:b/>
        </w:rPr>
        <w:t>.</w:t>
      </w:r>
      <w:r>
        <w:rPr>
          <w:rFonts w:hint="eastAsia"/>
          <w:b/>
        </w:rPr>
        <w:t>5</w:t>
      </w:r>
      <w:r>
        <w:rPr>
          <w:b/>
        </w:rPr>
        <w:t>-2  施工期主要污染物及其产生量</w:t>
      </w:r>
    </w:p>
    <w:tbl>
      <w:tblPr>
        <w:tblStyle w:val="59"/>
        <w:tblW w:w="85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57"/>
        <w:gridCol w:w="2831"/>
        <w:gridCol w:w="28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7" w:hRule="atLeast"/>
          <w:jc w:val="center"/>
        </w:trPr>
        <w:tc>
          <w:tcPr>
            <w:tcW w:w="2857"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类别</w:t>
            </w:r>
          </w:p>
        </w:tc>
        <w:tc>
          <w:tcPr>
            <w:tcW w:w="2831"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污水总量</w:t>
            </w:r>
          </w:p>
        </w:tc>
        <w:tc>
          <w:tcPr>
            <w:tcW w:w="2840"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5" w:hRule="atLeast"/>
          <w:jc w:val="center"/>
        </w:trPr>
        <w:tc>
          <w:tcPr>
            <w:tcW w:w="2857"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发生量（吨）</w:t>
            </w:r>
          </w:p>
        </w:tc>
        <w:tc>
          <w:tcPr>
            <w:tcW w:w="2831"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258.3</w:t>
            </w:r>
          </w:p>
        </w:tc>
        <w:tc>
          <w:tcPr>
            <w:tcW w:w="2840"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258.3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4" w:hRule="atLeast"/>
          <w:jc w:val="center"/>
        </w:trPr>
        <w:tc>
          <w:tcPr>
            <w:tcW w:w="2857"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浓度（mg/L）</w:t>
            </w:r>
          </w:p>
        </w:tc>
        <w:tc>
          <w:tcPr>
            <w:tcW w:w="2831"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w:t>
            </w:r>
          </w:p>
        </w:tc>
        <w:tc>
          <w:tcPr>
            <w:tcW w:w="2840"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100000</w:t>
            </w:r>
          </w:p>
        </w:tc>
      </w:tr>
    </w:tbl>
    <w:p>
      <w:pPr>
        <w:adjustRightInd w:val="0"/>
        <w:snapToGrid w:val="0"/>
        <w:spacing w:line="360" w:lineRule="auto"/>
        <w:rPr>
          <w:sz w:val="24"/>
        </w:rPr>
      </w:pPr>
    </w:p>
    <w:p>
      <w:pPr>
        <w:adjustRightInd w:val="0"/>
        <w:snapToGrid w:val="0"/>
        <w:spacing w:line="360" w:lineRule="auto"/>
        <w:ind w:firstLine="480" w:firstLineChars="200"/>
        <w:rPr>
          <w:rFonts w:hint="eastAsia"/>
          <w:sz w:val="24"/>
        </w:rPr>
      </w:pPr>
      <w:r>
        <w:rPr>
          <w:sz w:val="24"/>
        </w:rPr>
        <w:t>据类比调查，建筑类施工废水发生量约为0.5 kg/m</w:t>
      </w:r>
      <w:r>
        <w:rPr>
          <w:sz w:val="24"/>
          <w:vertAlign w:val="superscript"/>
        </w:rPr>
        <w:t>2</w:t>
      </w:r>
      <w:r>
        <w:rPr>
          <w:sz w:val="24"/>
        </w:rPr>
        <w:t>，即每平方米建筑面积产生的建筑施工废水为0.5 kg，SS浓度为100 g/L。本项目建筑面积为516562.44m</w:t>
      </w:r>
      <w:r>
        <w:rPr>
          <w:sz w:val="24"/>
          <w:vertAlign w:val="superscript"/>
        </w:rPr>
        <w:t>2</w:t>
      </w:r>
      <w:r>
        <w:rPr>
          <w:sz w:val="24"/>
        </w:rPr>
        <w:t>，则项目施工期间建筑施工废水发生量为</w:t>
      </w:r>
      <w:r>
        <w:rPr>
          <w:rFonts w:hint="eastAsia"/>
          <w:sz w:val="24"/>
        </w:rPr>
        <w:t>258.3</w:t>
      </w:r>
      <w:r>
        <w:rPr>
          <w:sz w:val="24"/>
        </w:rPr>
        <w:t xml:space="preserve"> 吨。施工期建筑施工废水发生量见表</w:t>
      </w:r>
      <w:r>
        <w:rPr>
          <w:rFonts w:hint="eastAsia"/>
          <w:sz w:val="24"/>
        </w:rPr>
        <w:t>2</w:t>
      </w:r>
      <w:r>
        <w:rPr>
          <w:sz w:val="24"/>
        </w:rPr>
        <w:t>.</w:t>
      </w:r>
      <w:r>
        <w:rPr>
          <w:rFonts w:hint="eastAsia"/>
          <w:sz w:val="24"/>
        </w:rPr>
        <w:t>5</w:t>
      </w:r>
      <w:r>
        <w:rPr>
          <w:sz w:val="24"/>
        </w:rPr>
        <w:t>-2。建筑污水含沙量大，拟经隔油沉淀后回用于施工降尘等各道工序，不得外排。</w:t>
      </w:r>
    </w:p>
    <w:p>
      <w:pPr>
        <w:autoSpaceDE w:val="0"/>
        <w:autoSpaceDN w:val="0"/>
        <w:adjustRightInd w:val="0"/>
        <w:snapToGrid w:val="0"/>
        <w:spacing w:line="360" w:lineRule="auto"/>
        <w:ind w:firstLine="480" w:firstLineChars="200"/>
        <w:rPr>
          <w:sz w:val="24"/>
        </w:rPr>
      </w:pPr>
      <w:r>
        <w:rPr>
          <w:sz w:val="24"/>
        </w:rPr>
        <w:t>施工期的污染防治措施有：</w:t>
      </w:r>
    </w:p>
    <w:p>
      <w:pPr>
        <w:autoSpaceDE w:val="0"/>
        <w:autoSpaceDN w:val="0"/>
        <w:adjustRightInd w:val="0"/>
        <w:snapToGrid w:val="0"/>
        <w:spacing w:line="360" w:lineRule="auto"/>
        <w:ind w:firstLine="480" w:firstLineChars="200"/>
        <w:rPr>
          <w:sz w:val="24"/>
        </w:rPr>
      </w:pPr>
      <w:r>
        <w:rPr>
          <w:sz w:val="24"/>
        </w:rPr>
        <w:t>（1）施工现场应设置临时厕所、食堂污水隔油池等简便生活污水处理设施，生活污水经预处理后接管周边道路污水管网，严禁随意排入附近的水体。</w:t>
      </w:r>
    </w:p>
    <w:p>
      <w:pPr>
        <w:autoSpaceDE w:val="0"/>
        <w:autoSpaceDN w:val="0"/>
        <w:adjustRightInd w:val="0"/>
        <w:snapToGrid w:val="0"/>
        <w:spacing w:line="360" w:lineRule="auto"/>
        <w:ind w:firstLine="480" w:firstLineChars="200"/>
        <w:rPr>
          <w:sz w:val="24"/>
        </w:rPr>
      </w:pPr>
      <w:r>
        <w:rPr>
          <w:sz w:val="24"/>
        </w:rPr>
        <w:t>（2）在施工场地运输车清洗处设置沉淀池。排放的废水排入沉淀池内，经沉淀处理后进行回收利用、用于洒水降尘。</w:t>
      </w:r>
    </w:p>
    <w:p>
      <w:pPr>
        <w:autoSpaceDE w:val="0"/>
        <w:autoSpaceDN w:val="0"/>
        <w:adjustRightInd w:val="0"/>
        <w:snapToGrid w:val="0"/>
        <w:spacing w:line="360" w:lineRule="auto"/>
        <w:ind w:firstLine="480" w:firstLineChars="200"/>
        <w:rPr>
          <w:sz w:val="24"/>
        </w:rPr>
      </w:pPr>
      <w:r>
        <w:rPr>
          <w:sz w:val="24"/>
        </w:rPr>
        <w:t>（3）在施工场地四周设置集水沟，收集施工现场排放的混凝土养护水、渗漏水等建筑废水，经沉淀处理后回用于施工现场的洒水抑尘。</w:t>
      </w:r>
    </w:p>
    <w:p>
      <w:pPr>
        <w:autoSpaceDE w:val="0"/>
        <w:autoSpaceDN w:val="0"/>
        <w:adjustRightInd w:val="0"/>
        <w:snapToGrid w:val="0"/>
        <w:spacing w:line="360" w:lineRule="auto"/>
        <w:ind w:firstLine="480" w:firstLineChars="200"/>
        <w:rPr>
          <w:sz w:val="24"/>
        </w:rPr>
      </w:pPr>
      <w:r>
        <w:rPr>
          <w:sz w:val="24"/>
        </w:rPr>
        <w:t>（4）施工机械定点冲洗，并在冲洗场地内设置集水沟和简易有效的除油池，将机械冲洗等含油废水进行收集、除油处理达标后回用于施工降尘。</w:t>
      </w:r>
    </w:p>
    <w:p>
      <w:pPr>
        <w:autoSpaceDE w:val="0"/>
        <w:autoSpaceDN w:val="0"/>
        <w:adjustRightInd w:val="0"/>
        <w:snapToGrid w:val="0"/>
        <w:spacing w:line="360" w:lineRule="auto"/>
        <w:ind w:firstLine="480" w:firstLineChars="200"/>
        <w:rPr>
          <w:sz w:val="24"/>
        </w:rPr>
      </w:pPr>
      <w:r>
        <w:rPr>
          <w:sz w:val="24"/>
        </w:rPr>
        <w:t>（5）施工现场的所有临时废水收集设施、处理设施均需采取防漏隔渗措施。</w:t>
      </w:r>
    </w:p>
    <w:p>
      <w:pPr>
        <w:autoSpaceDE w:val="0"/>
        <w:autoSpaceDN w:val="0"/>
        <w:adjustRightInd w:val="0"/>
        <w:snapToGrid w:val="0"/>
        <w:spacing w:line="360" w:lineRule="auto"/>
        <w:ind w:firstLine="480" w:firstLineChars="200"/>
        <w:rPr>
          <w:sz w:val="24"/>
        </w:rPr>
      </w:pPr>
      <w:r>
        <w:rPr>
          <w:sz w:val="24"/>
        </w:rPr>
        <w:t>（6）水泥、黄沙、石灰类的建筑材料需集中堆放，并采取一定的防雨淋措施，及时清扫施工运输工程中抛洒的上述建筑材料，以免这些物质随雨水冲刷污染附近水体。</w:t>
      </w:r>
    </w:p>
    <w:p>
      <w:pPr>
        <w:autoSpaceDE w:val="0"/>
        <w:autoSpaceDN w:val="0"/>
        <w:adjustRightInd w:val="0"/>
        <w:snapToGrid w:val="0"/>
        <w:spacing w:line="360" w:lineRule="auto"/>
        <w:ind w:firstLine="480" w:firstLineChars="200"/>
        <w:rPr>
          <w:sz w:val="24"/>
        </w:rPr>
      </w:pPr>
      <w:r>
        <w:rPr>
          <w:sz w:val="24"/>
        </w:rPr>
        <w:t>（7）有关施工现场水环境污染防治的其它措施按照“建设工程施工现场环境保护工作基本标准”执行。</w:t>
      </w:r>
    </w:p>
    <w:p>
      <w:pPr>
        <w:pStyle w:val="4"/>
        <w:adjustRightInd w:val="0"/>
        <w:snapToGrid w:val="0"/>
        <w:spacing w:before="0" w:after="0" w:line="360" w:lineRule="auto"/>
        <w:rPr>
          <w:bCs w:val="0"/>
          <w:sz w:val="24"/>
          <w:szCs w:val="24"/>
        </w:rPr>
      </w:pPr>
      <w:bookmarkStart w:id="113" w:name="_Toc435690409"/>
      <w:r>
        <w:rPr>
          <w:rFonts w:hint="eastAsia"/>
          <w:bCs w:val="0"/>
          <w:sz w:val="24"/>
          <w:szCs w:val="24"/>
        </w:rPr>
        <w:t>2.5.3施工期</w:t>
      </w:r>
      <w:r>
        <w:rPr>
          <w:bCs w:val="0"/>
          <w:sz w:val="24"/>
          <w:szCs w:val="24"/>
        </w:rPr>
        <w:t>大气</w:t>
      </w:r>
      <w:r>
        <w:rPr>
          <w:rFonts w:hint="eastAsia"/>
          <w:bCs w:val="0"/>
          <w:sz w:val="24"/>
          <w:szCs w:val="24"/>
        </w:rPr>
        <w:t>环境环境影响分析及污染防治措施</w:t>
      </w:r>
      <w:bookmarkEnd w:id="113"/>
    </w:p>
    <w:p>
      <w:pPr>
        <w:adjustRightInd w:val="0"/>
        <w:snapToGrid w:val="0"/>
        <w:spacing w:line="360" w:lineRule="auto"/>
        <w:ind w:firstLine="480" w:firstLineChars="200"/>
        <w:rPr>
          <w:sz w:val="24"/>
        </w:rPr>
      </w:pPr>
      <w:r>
        <w:rPr>
          <w:sz w:val="24"/>
        </w:rPr>
        <w:t>建设项目在主体框架阶段施工建设过程中，大气污染物主要有：施工过程中施工机械和运输车辆所排放的废气和粉尘。粉尘污染主要来源于：1）建筑材料如水泥、白灰、砂子、开挖土方等在其装卸、运输、堆放过程中，因风力作用将产生扬尘污染；2）运输车辆往来将造成地面扬尘；3）施工垃圾在其堆放和清运过程中将产生扬尘。</w:t>
      </w:r>
    </w:p>
    <w:p>
      <w:pPr>
        <w:adjustRightInd w:val="0"/>
        <w:snapToGrid w:val="0"/>
        <w:spacing w:line="360" w:lineRule="auto"/>
        <w:ind w:firstLine="480" w:firstLineChars="200"/>
        <w:rPr>
          <w:rFonts w:hint="eastAsia"/>
          <w:sz w:val="24"/>
        </w:rPr>
      </w:pPr>
      <w:r>
        <w:rPr>
          <w:sz w:val="24"/>
        </w:rPr>
        <w:t>上述施工过程中产生的废气、粉尘（扬尘）将会造成周围大气环境污染，其中又以粉尘的危害较为严重。施工期间产生的粉尘污染主要决定于施工作业方式、材料的堆放及风力等因素，其中受风力因素的影响最大。根据相关实测资料，在一般气象条件下，平均风速为2.5 m/s，建筑工地内TSP浓度为其上风向对照点的2~2.5倍，建筑施工扬尘的影响范围在其下风向可达150 m，影响范围内TSP浓度平均值可达0.49 mg/m</w:t>
      </w:r>
      <w:r>
        <w:rPr>
          <w:sz w:val="24"/>
          <w:vertAlign w:val="superscript"/>
        </w:rPr>
        <w:t>3</w:t>
      </w:r>
      <w:r>
        <w:rPr>
          <w:sz w:val="24"/>
        </w:rPr>
        <w:t>。当有围栏时，同等条件下其影响距离可缩短40%。当风速大于5 m/s，施工现场及其下风向部分区域的TSP浓度将超过空气质量标准中的三级标准，而且随着风速的增加，施工扬尘产生的污染程度和超标范围也将随之增强和扩大。粉尘的产生量与天气、温度、风速、施工队文明作业程度和管理水平等因素有关，其排放量不进行定量估算。</w:t>
      </w:r>
    </w:p>
    <w:p>
      <w:pPr>
        <w:autoSpaceDE w:val="0"/>
        <w:autoSpaceDN w:val="0"/>
        <w:adjustRightInd w:val="0"/>
        <w:snapToGrid w:val="0"/>
        <w:spacing w:line="360" w:lineRule="auto"/>
        <w:ind w:firstLine="480" w:firstLineChars="200"/>
        <w:rPr>
          <w:sz w:val="24"/>
        </w:rPr>
      </w:pPr>
      <w:r>
        <w:rPr>
          <w:sz w:val="24"/>
        </w:rPr>
        <w:t>施工期的所采取的大气防护措施主要有：在施工期间应制定严格的污染防治措施控制扬尘，严格按照《防治城市扬尘污染技术规范》（HJ/T 393-2007）的要求防治扬尘污染</w:t>
      </w:r>
      <w:r>
        <w:rPr>
          <w:rFonts w:hint="eastAsia"/>
          <w:sz w:val="24"/>
        </w:rPr>
        <w:t>，减少对周边敏感目标的影响</w:t>
      </w:r>
      <w:r>
        <w:rPr>
          <w:sz w:val="24"/>
        </w:rPr>
        <w:t>。</w:t>
      </w:r>
    </w:p>
    <w:p>
      <w:pPr>
        <w:autoSpaceDE w:val="0"/>
        <w:autoSpaceDN w:val="0"/>
        <w:adjustRightInd w:val="0"/>
        <w:snapToGrid w:val="0"/>
        <w:spacing w:line="360" w:lineRule="auto"/>
        <w:ind w:firstLine="480" w:firstLineChars="200"/>
        <w:rPr>
          <w:sz w:val="24"/>
        </w:rPr>
      </w:pPr>
      <w:r>
        <w:rPr>
          <w:sz w:val="24"/>
        </w:rPr>
        <w:t>（1）洒水抑尘</w:t>
      </w:r>
    </w:p>
    <w:p>
      <w:pPr>
        <w:autoSpaceDE w:val="0"/>
        <w:autoSpaceDN w:val="0"/>
        <w:adjustRightInd w:val="0"/>
        <w:snapToGrid w:val="0"/>
        <w:spacing w:line="360" w:lineRule="auto"/>
        <w:ind w:firstLine="480" w:firstLineChars="200"/>
        <w:rPr>
          <w:sz w:val="24"/>
        </w:rPr>
      </w:pPr>
      <w:r>
        <w:rPr>
          <w:sz w:val="24"/>
        </w:rPr>
        <w:t>装运土方时控制车内土方低于车厢挡板，减少途中撒落，运输车辆采取遮挡措施，不得敞开式运输；对施工现场抛洒的砂石、水泥等物料应及时清扫，砂石堆、施工道路应定时洒水抑尘。</w:t>
      </w:r>
    </w:p>
    <w:p>
      <w:pPr>
        <w:autoSpaceDE w:val="0"/>
        <w:autoSpaceDN w:val="0"/>
        <w:adjustRightInd w:val="0"/>
        <w:snapToGrid w:val="0"/>
        <w:spacing w:line="360" w:lineRule="auto"/>
        <w:ind w:firstLine="480" w:firstLineChars="200"/>
        <w:rPr>
          <w:sz w:val="24"/>
        </w:rPr>
      </w:pPr>
      <w:r>
        <w:rPr>
          <w:sz w:val="24"/>
        </w:rPr>
        <w:t>（2）封闭施工</w:t>
      </w:r>
    </w:p>
    <w:p>
      <w:pPr>
        <w:autoSpaceDE w:val="0"/>
        <w:autoSpaceDN w:val="0"/>
        <w:adjustRightInd w:val="0"/>
        <w:snapToGrid w:val="0"/>
        <w:spacing w:line="360" w:lineRule="auto"/>
        <w:ind w:firstLine="480" w:firstLineChars="200"/>
        <w:rPr>
          <w:sz w:val="24"/>
        </w:rPr>
      </w:pPr>
      <w:r>
        <w:rPr>
          <w:sz w:val="24"/>
        </w:rPr>
        <w:t>施工现场对外围临近居民住宅区设置围栏或围墙，封闭施工，缩小施工现场扬尘和尾气扩散范围。沿施工现场周围应设3.0米以上的围墙防止扬尘污染周围环境；施工期间的料堆、土堆等应加强防起尘措施，对堆存的砂粉等建筑材料采取遮盖措施；施工期间，在工地建筑结构脚手架外侧设置有效抑尘的密目防尘网（不低于2000目/100平方厘米）或防尘布，防尘网的高度建议不低于5 m。</w:t>
      </w:r>
    </w:p>
    <w:p>
      <w:pPr>
        <w:autoSpaceDE w:val="0"/>
        <w:autoSpaceDN w:val="0"/>
        <w:adjustRightInd w:val="0"/>
        <w:snapToGrid w:val="0"/>
        <w:spacing w:line="360" w:lineRule="auto"/>
        <w:ind w:firstLine="480" w:firstLineChars="200"/>
        <w:rPr>
          <w:sz w:val="24"/>
        </w:rPr>
      </w:pPr>
      <w:r>
        <w:rPr>
          <w:sz w:val="24"/>
        </w:rPr>
        <w:t>（3）限制车速</w:t>
      </w:r>
    </w:p>
    <w:p>
      <w:pPr>
        <w:autoSpaceDE w:val="0"/>
        <w:autoSpaceDN w:val="0"/>
        <w:adjustRightInd w:val="0"/>
        <w:snapToGrid w:val="0"/>
        <w:spacing w:line="360" w:lineRule="auto"/>
        <w:ind w:firstLine="480" w:firstLineChars="200"/>
        <w:rPr>
          <w:sz w:val="24"/>
        </w:rPr>
      </w:pPr>
      <w:r>
        <w:rPr>
          <w:sz w:val="24"/>
        </w:rPr>
        <w:t>施工场地的扬尘，大部分来自施工车辆。在同样清洁程度的条件下，车速越慢，扬尘量越小。本场地施工车辆在进入施工场地后，需减速行驶，以减少施工场地扬尘，建议行驶车速不大于5 km/h。此时的扬尘量可减少为一般行驶速度（15 km/h计）情况下的1/3。</w:t>
      </w:r>
    </w:p>
    <w:p>
      <w:pPr>
        <w:autoSpaceDE w:val="0"/>
        <w:autoSpaceDN w:val="0"/>
        <w:adjustRightInd w:val="0"/>
        <w:snapToGrid w:val="0"/>
        <w:spacing w:line="360" w:lineRule="auto"/>
        <w:ind w:firstLine="480" w:firstLineChars="200"/>
        <w:rPr>
          <w:sz w:val="24"/>
        </w:rPr>
      </w:pPr>
      <w:r>
        <w:rPr>
          <w:sz w:val="24"/>
        </w:rPr>
        <w:t>（4）保持施工场地路面清洁</w:t>
      </w:r>
    </w:p>
    <w:p>
      <w:pPr>
        <w:autoSpaceDE w:val="0"/>
        <w:autoSpaceDN w:val="0"/>
        <w:adjustRightInd w:val="0"/>
        <w:snapToGrid w:val="0"/>
        <w:spacing w:line="360" w:lineRule="auto"/>
        <w:ind w:firstLine="480" w:firstLineChars="200"/>
        <w:rPr>
          <w:sz w:val="24"/>
        </w:rPr>
      </w:pPr>
      <w:r>
        <w:rPr>
          <w:sz w:val="24"/>
        </w:rPr>
        <w:t>为了减少施工扬尘，必须保持施工场地、进出道路以及施工车辆的清洁，可通过及时清扫，对施工车辆及时清洗，禁止超载，清运车辆覆盖帆布，防止洒落等，采取有效措施来保持场地路面的清洁，减少施工扬尘。</w:t>
      </w:r>
    </w:p>
    <w:p>
      <w:pPr>
        <w:autoSpaceDE w:val="0"/>
        <w:autoSpaceDN w:val="0"/>
        <w:adjustRightInd w:val="0"/>
        <w:snapToGrid w:val="0"/>
        <w:spacing w:line="360" w:lineRule="auto"/>
        <w:ind w:firstLine="480" w:firstLineChars="200"/>
        <w:rPr>
          <w:sz w:val="24"/>
        </w:rPr>
      </w:pPr>
      <w:r>
        <w:rPr>
          <w:sz w:val="24"/>
        </w:rPr>
        <w:t>（5）避免大风天气作业</w:t>
      </w:r>
    </w:p>
    <w:p>
      <w:pPr>
        <w:autoSpaceDE w:val="0"/>
        <w:autoSpaceDN w:val="0"/>
        <w:adjustRightInd w:val="0"/>
        <w:snapToGrid w:val="0"/>
        <w:spacing w:line="360" w:lineRule="auto"/>
        <w:ind w:firstLine="480" w:firstLineChars="200"/>
        <w:rPr>
          <w:sz w:val="24"/>
        </w:rPr>
      </w:pPr>
      <w:r>
        <w:rPr>
          <w:sz w:val="24"/>
        </w:rPr>
        <w:t>应避免在大风天气进行水泥、黄沙等的装卸作业，使用散装水泥和商品混凝土时不应露天堆放，即使必须露天堆放，也要注意加盖防雨布，减少大风造成的施工扬尘。</w:t>
      </w:r>
    </w:p>
    <w:p>
      <w:pPr>
        <w:autoSpaceDE w:val="0"/>
        <w:autoSpaceDN w:val="0"/>
        <w:adjustRightInd w:val="0"/>
        <w:snapToGrid w:val="0"/>
        <w:spacing w:line="360" w:lineRule="auto"/>
        <w:ind w:firstLine="480" w:firstLineChars="200"/>
        <w:rPr>
          <w:sz w:val="24"/>
        </w:rPr>
      </w:pPr>
      <w:r>
        <w:rPr>
          <w:sz w:val="24"/>
        </w:rPr>
        <w:t>（6）其他措施</w:t>
      </w:r>
    </w:p>
    <w:p>
      <w:pPr>
        <w:adjustRightInd w:val="0"/>
        <w:snapToGrid w:val="0"/>
        <w:spacing w:line="360" w:lineRule="auto"/>
        <w:ind w:firstLine="480" w:firstLineChars="200"/>
        <w:rPr>
          <w:sz w:val="24"/>
        </w:rPr>
      </w:pPr>
      <w:r>
        <w:rPr>
          <w:sz w:val="24"/>
        </w:rPr>
        <w:t>水泥采用搅拌站提供的水泥混凝土施工以减少粉尘的散逸；对排烟大的施工机械安装消烟装置，以减轻对大气环境的污染；除此以外，为了减少施工扬尘，施工中还应注意减少表面裸土，开挖后及时回填、夯实，做到有计划开挖，有计划回填。</w:t>
      </w:r>
    </w:p>
    <w:p>
      <w:pPr>
        <w:pStyle w:val="4"/>
        <w:adjustRightInd w:val="0"/>
        <w:snapToGrid w:val="0"/>
        <w:spacing w:before="0" w:after="0" w:line="360" w:lineRule="auto"/>
        <w:rPr>
          <w:bCs w:val="0"/>
          <w:sz w:val="24"/>
          <w:szCs w:val="24"/>
        </w:rPr>
      </w:pPr>
      <w:bookmarkStart w:id="114" w:name="_Toc435690410"/>
      <w:r>
        <w:rPr>
          <w:rFonts w:hint="eastAsia"/>
          <w:bCs w:val="0"/>
          <w:sz w:val="24"/>
          <w:szCs w:val="24"/>
        </w:rPr>
        <w:t>2.5.4施工期</w:t>
      </w:r>
      <w:r>
        <w:rPr>
          <w:bCs w:val="0"/>
          <w:sz w:val="24"/>
          <w:szCs w:val="24"/>
        </w:rPr>
        <w:t>声</w:t>
      </w:r>
      <w:r>
        <w:rPr>
          <w:rFonts w:hint="eastAsia"/>
          <w:bCs w:val="0"/>
          <w:sz w:val="24"/>
          <w:szCs w:val="24"/>
        </w:rPr>
        <w:t>环境环境影响分析及污染防治措施</w:t>
      </w:r>
      <w:bookmarkEnd w:id="114"/>
    </w:p>
    <w:p>
      <w:pPr>
        <w:adjustRightInd w:val="0"/>
        <w:snapToGrid w:val="0"/>
        <w:spacing w:line="360" w:lineRule="auto"/>
        <w:ind w:firstLine="480" w:firstLineChars="200"/>
        <w:rPr>
          <w:sz w:val="24"/>
        </w:rPr>
      </w:pPr>
      <w:r>
        <w:rPr>
          <w:sz w:val="24"/>
        </w:rPr>
        <w:t>施工噪声主要可分为机械噪声、施工作业噪声和施工车辆噪声。机械噪声主要由施工机械所造成，如挖土机械、打桩机械、升降机等，多为点声源；施工作业噪声主要指一些零星的敲打声、装卸车辆的撞击声、拆卸模板的撞击声等，多为瞬时噪声；施工车辆的噪声属于交通噪声。在这些施工噪声中，对声环境影响最大的是机械噪声。施工机械噪声源强及影响范围与机械种类有关，不同施工机械的源强及影响状况见表</w:t>
      </w:r>
      <w:r>
        <w:rPr>
          <w:rFonts w:hint="eastAsia"/>
          <w:sz w:val="24"/>
        </w:rPr>
        <w:t>2</w:t>
      </w:r>
      <w:r>
        <w:rPr>
          <w:sz w:val="24"/>
        </w:rPr>
        <w:t>.</w:t>
      </w:r>
      <w:r>
        <w:rPr>
          <w:rFonts w:hint="eastAsia"/>
          <w:sz w:val="24"/>
        </w:rPr>
        <w:t>5</w:t>
      </w:r>
      <w:r>
        <w:rPr>
          <w:sz w:val="24"/>
        </w:rPr>
        <w:t>-3。</w:t>
      </w:r>
    </w:p>
    <w:p>
      <w:pPr>
        <w:adjustRightInd w:val="0"/>
        <w:snapToGrid w:val="0"/>
        <w:jc w:val="center"/>
        <w:rPr>
          <w:b/>
        </w:rPr>
      </w:pPr>
      <w:r>
        <w:rPr>
          <w:b/>
        </w:rPr>
        <w:t>表</w:t>
      </w:r>
      <w:r>
        <w:rPr>
          <w:rFonts w:hint="eastAsia"/>
          <w:b/>
        </w:rPr>
        <w:t>2</w:t>
      </w:r>
      <w:r>
        <w:rPr>
          <w:b/>
        </w:rPr>
        <w:t>.</w:t>
      </w:r>
      <w:r>
        <w:rPr>
          <w:rFonts w:hint="eastAsia"/>
          <w:b/>
        </w:rPr>
        <w:t>5</w:t>
      </w:r>
      <w:r>
        <w:rPr>
          <w:b/>
        </w:rPr>
        <w:t>-3  主要施工机械设备的噪声声级</w:t>
      </w:r>
    </w:p>
    <w:tbl>
      <w:tblPr>
        <w:tblStyle w:val="59"/>
        <w:tblW w:w="85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24"/>
        <w:gridCol w:w="2858"/>
        <w:gridCol w:w="2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tblHeader/>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机械名称</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测量声级dB（A）</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测量距离（m）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挖掘机</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79</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推土机</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86</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6" w:hRule="atLeast"/>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装卸机</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86</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压路机</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73</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铲土机</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75</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自卸卡车</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70</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冲击式打桩机</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100</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钻孔式灌注桩机</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81</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静压式打桩机</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80</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6" w:hRule="atLeast"/>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打井机</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85</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风镐</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103</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空压机</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92</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混凝土振捣机</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80</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电锯</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103</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升降机</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72</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砂轮机</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91～105</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trPr>
        <w:tc>
          <w:tcPr>
            <w:tcW w:w="2824"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切割机</w:t>
            </w:r>
          </w:p>
        </w:tc>
        <w:tc>
          <w:tcPr>
            <w:tcW w:w="2858"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91～105</w:t>
            </w:r>
          </w:p>
        </w:tc>
        <w:tc>
          <w:tcPr>
            <w:tcW w:w="2860"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w:t>
            </w:r>
          </w:p>
        </w:tc>
      </w:tr>
    </w:tbl>
    <w:p>
      <w:pPr>
        <w:adjustRightInd w:val="0"/>
        <w:snapToGrid w:val="0"/>
        <w:spacing w:line="360" w:lineRule="auto"/>
        <w:rPr>
          <w:sz w:val="24"/>
        </w:rPr>
      </w:pPr>
    </w:p>
    <w:p>
      <w:pPr>
        <w:adjustRightInd w:val="0"/>
        <w:snapToGrid w:val="0"/>
        <w:spacing w:line="360" w:lineRule="auto"/>
        <w:ind w:firstLine="480" w:firstLineChars="200"/>
        <w:rPr>
          <w:rFonts w:hint="eastAsia"/>
          <w:sz w:val="24"/>
        </w:rPr>
      </w:pPr>
      <w:r>
        <w:rPr>
          <w:sz w:val="24"/>
        </w:rPr>
        <w:t>建筑施工可分为土石方工程阶段、基础施工阶段、结构施工阶段和装修阶段。各阶段的施工设备产生的噪声具有阶段性、临时性和不固定性，不同的施工阶段有不同的噪声源。总体而言，主要的噪声源有挖掘机、推土机、装卸机、打桩机、打井机、吊车、沙轮机、电钻、电梯、切割机等，但不同的施工队所拥有的建筑设备也不尽相同。</w:t>
      </w:r>
    </w:p>
    <w:p>
      <w:pPr>
        <w:autoSpaceDE w:val="0"/>
        <w:autoSpaceDN w:val="0"/>
        <w:adjustRightInd w:val="0"/>
        <w:snapToGrid w:val="0"/>
        <w:spacing w:line="360" w:lineRule="auto"/>
        <w:ind w:firstLine="480" w:firstLineChars="200"/>
        <w:rPr>
          <w:sz w:val="24"/>
        </w:rPr>
      </w:pPr>
      <w:r>
        <w:rPr>
          <w:sz w:val="24"/>
        </w:rPr>
        <w:t>本项目200米范围内主要有</w:t>
      </w:r>
      <w:r>
        <w:rPr>
          <w:rFonts w:hint="eastAsia"/>
          <w:sz w:val="24"/>
        </w:rPr>
        <w:t>正达公寓、金叶花园、惠安新居等居民点</w:t>
      </w:r>
      <w:r>
        <w:rPr>
          <w:sz w:val="24"/>
        </w:rPr>
        <w:t>，因此建设期间必须采取相应的措施避免施工噪声对居民区的影响，无法避免的需采取相应的补偿措施，杜绝工程建设扰民。</w:t>
      </w:r>
    </w:p>
    <w:p>
      <w:pPr>
        <w:autoSpaceDE w:val="0"/>
        <w:autoSpaceDN w:val="0"/>
        <w:adjustRightInd w:val="0"/>
        <w:snapToGrid w:val="0"/>
        <w:spacing w:line="360" w:lineRule="auto"/>
        <w:ind w:firstLine="480" w:firstLineChars="200"/>
        <w:rPr>
          <w:sz w:val="24"/>
        </w:rPr>
      </w:pPr>
      <w:r>
        <w:rPr>
          <w:sz w:val="24"/>
        </w:rPr>
        <w:t>为了减小和消除本工程施工期噪声对环境敏感保护目标和周边环境的影响，可采取以下控制措施：</w:t>
      </w:r>
    </w:p>
    <w:p>
      <w:pPr>
        <w:autoSpaceDE w:val="0"/>
        <w:autoSpaceDN w:val="0"/>
        <w:adjustRightInd w:val="0"/>
        <w:snapToGrid w:val="0"/>
        <w:spacing w:line="360" w:lineRule="auto"/>
        <w:ind w:firstLine="480" w:firstLineChars="200"/>
        <w:rPr>
          <w:sz w:val="24"/>
        </w:rPr>
      </w:pPr>
      <w:r>
        <w:rPr>
          <w:sz w:val="24"/>
        </w:rPr>
        <w:t>（1）合理安排施工时间</w:t>
      </w:r>
    </w:p>
    <w:p>
      <w:pPr>
        <w:autoSpaceDE w:val="0"/>
        <w:autoSpaceDN w:val="0"/>
        <w:adjustRightInd w:val="0"/>
        <w:snapToGrid w:val="0"/>
        <w:spacing w:line="360" w:lineRule="auto"/>
        <w:ind w:firstLine="480" w:firstLineChars="200"/>
        <w:rPr>
          <w:sz w:val="24"/>
        </w:rPr>
      </w:pPr>
      <w:r>
        <w:rPr>
          <w:sz w:val="24"/>
        </w:rPr>
        <w:t>制订施工计划时，应尽量避免同时使用大量高噪声设备施工。除此之外，高噪声施工时间尽量安排在白天，禁止在夜间施工，因特殊原因确需夜间施工的应提前向当地环保局等部门申请夜间施工许可，并接受其依法监督。</w:t>
      </w:r>
    </w:p>
    <w:p>
      <w:pPr>
        <w:autoSpaceDE w:val="0"/>
        <w:autoSpaceDN w:val="0"/>
        <w:adjustRightInd w:val="0"/>
        <w:snapToGrid w:val="0"/>
        <w:spacing w:line="360" w:lineRule="auto"/>
        <w:ind w:firstLine="480" w:firstLineChars="200"/>
        <w:rPr>
          <w:sz w:val="24"/>
        </w:rPr>
      </w:pPr>
      <w:r>
        <w:rPr>
          <w:sz w:val="24"/>
        </w:rPr>
        <w:t>（2）合理布局施工场地</w:t>
      </w:r>
    </w:p>
    <w:p>
      <w:pPr>
        <w:autoSpaceDE w:val="0"/>
        <w:autoSpaceDN w:val="0"/>
        <w:adjustRightInd w:val="0"/>
        <w:snapToGrid w:val="0"/>
        <w:spacing w:line="360" w:lineRule="auto"/>
        <w:ind w:firstLine="480" w:firstLineChars="200"/>
        <w:rPr>
          <w:sz w:val="24"/>
        </w:rPr>
      </w:pPr>
      <w:r>
        <w:rPr>
          <w:sz w:val="24"/>
        </w:rPr>
        <w:t>施工场地周围建设围墙，设置单独出入口；避免在同一施工地点安排大量动力机械设备，避免局部声级过高；尽量利用工地已完成的建筑作为声障，而达到自我缓解噪声的效果。</w:t>
      </w:r>
    </w:p>
    <w:p>
      <w:pPr>
        <w:autoSpaceDE w:val="0"/>
        <w:autoSpaceDN w:val="0"/>
        <w:adjustRightInd w:val="0"/>
        <w:snapToGrid w:val="0"/>
        <w:spacing w:line="360" w:lineRule="auto"/>
        <w:ind w:firstLine="480" w:firstLineChars="200"/>
        <w:rPr>
          <w:sz w:val="24"/>
        </w:rPr>
      </w:pPr>
      <w:r>
        <w:rPr>
          <w:sz w:val="24"/>
        </w:rPr>
        <w:t>（3）降低设备声级</w:t>
      </w:r>
    </w:p>
    <w:p>
      <w:pPr>
        <w:autoSpaceDE w:val="0"/>
        <w:autoSpaceDN w:val="0"/>
        <w:adjustRightInd w:val="0"/>
        <w:snapToGrid w:val="0"/>
        <w:spacing w:line="360" w:lineRule="auto"/>
        <w:ind w:firstLine="480" w:firstLineChars="200"/>
        <w:rPr>
          <w:sz w:val="24"/>
        </w:rPr>
      </w:pPr>
      <w:r>
        <w:rPr>
          <w:sz w:val="24"/>
        </w:rPr>
        <w:t>设备选型上尽量采用低噪声设备；固定机械设备与挖土、运土机械，可通过排气管消声器和隔离发动机振动部件的方法降低噪声；对动力机械设备进行定期的维修、养护，避免设备因松动部件的振动或消声器的损坏而增加其工作时的噪声级；暂不使用的设备应立即关闭，运输车辆进入现场应减速，并减少鸣笛。</w:t>
      </w:r>
    </w:p>
    <w:p>
      <w:pPr>
        <w:autoSpaceDE w:val="0"/>
        <w:autoSpaceDN w:val="0"/>
        <w:adjustRightInd w:val="0"/>
        <w:snapToGrid w:val="0"/>
        <w:spacing w:line="360" w:lineRule="auto"/>
        <w:ind w:firstLine="480" w:firstLineChars="200"/>
        <w:rPr>
          <w:sz w:val="24"/>
        </w:rPr>
      </w:pPr>
      <w:r>
        <w:rPr>
          <w:sz w:val="24"/>
        </w:rPr>
        <w:t>（4）降低人为噪声</w:t>
      </w:r>
    </w:p>
    <w:p>
      <w:pPr>
        <w:autoSpaceDE w:val="0"/>
        <w:autoSpaceDN w:val="0"/>
        <w:adjustRightInd w:val="0"/>
        <w:snapToGrid w:val="0"/>
        <w:spacing w:line="360" w:lineRule="auto"/>
        <w:ind w:firstLine="480" w:firstLineChars="200"/>
        <w:rPr>
          <w:sz w:val="24"/>
        </w:rPr>
      </w:pPr>
      <w:r>
        <w:rPr>
          <w:sz w:val="24"/>
        </w:rPr>
        <w:t>按规范操作机械设备；在模板、支架拆卸过程中，遵守作业规定，减少碰撞噪音。</w:t>
      </w:r>
    </w:p>
    <w:p>
      <w:pPr>
        <w:autoSpaceDE w:val="0"/>
        <w:autoSpaceDN w:val="0"/>
        <w:adjustRightInd w:val="0"/>
        <w:snapToGrid w:val="0"/>
        <w:spacing w:line="360" w:lineRule="auto"/>
        <w:ind w:firstLine="480" w:firstLineChars="200"/>
        <w:rPr>
          <w:sz w:val="24"/>
        </w:rPr>
      </w:pPr>
      <w:r>
        <w:rPr>
          <w:sz w:val="24"/>
        </w:rPr>
        <w:t>（5）建立临时声障</w:t>
      </w:r>
    </w:p>
    <w:p>
      <w:pPr>
        <w:autoSpaceDE w:val="0"/>
        <w:autoSpaceDN w:val="0"/>
        <w:adjustRightInd w:val="0"/>
        <w:snapToGrid w:val="0"/>
        <w:spacing w:line="360" w:lineRule="auto"/>
        <w:ind w:firstLine="480" w:firstLineChars="200"/>
        <w:rPr>
          <w:sz w:val="24"/>
        </w:rPr>
      </w:pPr>
      <w:r>
        <w:rPr>
          <w:sz w:val="24"/>
        </w:rPr>
        <w:t>对于位置相对固定的机械设备，能于棚内操作的尽量放入操作间，不能入棚的，可适当建立单面声障。对施工场地噪声影响除采取以上降噪措施外，还应与周围居民建立良好的关系，在作业前予以通知，求得大家的理解。此外施工期间应设热线投拆电话，接受噪声扰民投拆，并对投拆情况进行积极治理或严格的管理。</w:t>
      </w:r>
    </w:p>
    <w:p>
      <w:pPr>
        <w:autoSpaceDE w:val="0"/>
        <w:autoSpaceDN w:val="0"/>
        <w:adjustRightInd w:val="0"/>
        <w:snapToGrid w:val="0"/>
        <w:spacing w:line="360" w:lineRule="auto"/>
        <w:ind w:firstLine="480" w:firstLineChars="200"/>
        <w:rPr>
          <w:sz w:val="24"/>
        </w:rPr>
      </w:pPr>
      <w:r>
        <w:rPr>
          <w:sz w:val="24"/>
        </w:rPr>
        <w:t>除上述施工机械产生的噪声外，施工过程中各种运输车辆的运行，还将会引起敏感点噪声级的增加。因此，应加强对运输车辆的管理，车辆进出应避开居民点，另外应尽量压缩工区汽车数量和行车密度，控制汽车鸣笛。</w:t>
      </w:r>
    </w:p>
    <w:p>
      <w:pPr>
        <w:autoSpaceDE w:val="0"/>
        <w:autoSpaceDN w:val="0"/>
        <w:adjustRightInd w:val="0"/>
        <w:snapToGrid w:val="0"/>
        <w:spacing w:line="360" w:lineRule="auto"/>
        <w:ind w:firstLine="480" w:firstLineChars="200"/>
        <w:rPr>
          <w:sz w:val="24"/>
        </w:rPr>
      </w:pPr>
      <w:r>
        <w:rPr>
          <w:sz w:val="24"/>
        </w:rPr>
        <w:t>总体而言，本项目施工噪声对周围环境是有影响的，对此，在建筑施工期间向周围排放噪声必须按照《中华人民共和国环境噪声污染防治法》规定，严格按《建筑施工场界环境噪声排放标准》（GB 12523-2011）对施工场界进行噪声控制。</w:t>
      </w:r>
    </w:p>
    <w:p>
      <w:pPr>
        <w:pStyle w:val="4"/>
        <w:adjustRightInd w:val="0"/>
        <w:snapToGrid w:val="0"/>
        <w:spacing w:before="0" w:after="0" w:line="360" w:lineRule="auto"/>
        <w:rPr>
          <w:bCs w:val="0"/>
          <w:sz w:val="24"/>
          <w:szCs w:val="24"/>
        </w:rPr>
      </w:pPr>
      <w:bookmarkStart w:id="115" w:name="_Toc435690411"/>
      <w:r>
        <w:rPr>
          <w:rFonts w:hint="eastAsia"/>
          <w:bCs w:val="0"/>
          <w:sz w:val="24"/>
          <w:szCs w:val="24"/>
        </w:rPr>
        <w:t>2.5.6</w:t>
      </w:r>
      <w:r>
        <w:rPr>
          <w:bCs w:val="0"/>
          <w:sz w:val="24"/>
          <w:szCs w:val="24"/>
        </w:rPr>
        <w:t>固体废弃物</w:t>
      </w:r>
      <w:r>
        <w:rPr>
          <w:rFonts w:hint="eastAsia"/>
          <w:bCs w:val="0"/>
          <w:sz w:val="24"/>
          <w:szCs w:val="24"/>
        </w:rPr>
        <w:t>环境环境影响分析及污染防治措施</w:t>
      </w:r>
      <w:bookmarkEnd w:id="115"/>
    </w:p>
    <w:p>
      <w:pPr>
        <w:adjustRightInd w:val="0"/>
        <w:snapToGrid w:val="0"/>
        <w:spacing w:line="360" w:lineRule="auto"/>
        <w:ind w:firstLine="480" w:firstLineChars="200"/>
        <w:rPr>
          <w:sz w:val="24"/>
        </w:rPr>
      </w:pPr>
      <w:r>
        <w:rPr>
          <w:sz w:val="24"/>
        </w:rPr>
        <w:t>本次项目施工过程中固体废弃物主要有：</w:t>
      </w:r>
    </w:p>
    <w:p>
      <w:pPr>
        <w:adjustRightInd w:val="0"/>
        <w:snapToGrid w:val="0"/>
        <w:spacing w:line="360" w:lineRule="auto"/>
        <w:ind w:firstLine="480" w:firstLineChars="200"/>
        <w:rPr>
          <w:sz w:val="24"/>
        </w:rPr>
      </w:pPr>
      <w:r>
        <w:rPr>
          <w:sz w:val="24"/>
        </w:rPr>
        <w:t>1、生活垃圾</w:t>
      </w:r>
    </w:p>
    <w:p>
      <w:pPr>
        <w:adjustRightInd w:val="0"/>
        <w:snapToGrid w:val="0"/>
        <w:spacing w:line="360" w:lineRule="auto"/>
        <w:ind w:firstLine="480" w:firstLineChars="200"/>
        <w:rPr>
          <w:sz w:val="24"/>
        </w:rPr>
      </w:pPr>
      <w:r>
        <w:rPr>
          <w:sz w:val="24"/>
        </w:rPr>
        <w:t>施工过程中产生的生活垃圾如不及时进行清理，则会腐烂变质，孳生蚊虫苍蝇，产生恶臭，传染疾病，从而对周围环境和作业人员健康带来不利影响。故对施工人员的生活垃圾应定点存放、及时收集，回收可利用物质，将生活垃圾的减量化、资源化后，委托环卫部门送至卫生填埋场进行填埋处置，管理得当、收集清运及时则不会对环境造成影响。</w:t>
      </w:r>
    </w:p>
    <w:p>
      <w:pPr>
        <w:adjustRightInd w:val="0"/>
        <w:snapToGrid w:val="0"/>
        <w:spacing w:line="360" w:lineRule="auto"/>
        <w:ind w:firstLine="480" w:firstLineChars="200"/>
        <w:rPr>
          <w:sz w:val="24"/>
        </w:rPr>
      </w:pPr>
      <w:r>
        <w:rPr>
          <w:sz w:val="24"/>
        </w:rPr>
        <w:t>本次项目按照生活垃圾发生系数1 kg/人·d计算，施工期间生活垃圾发生总量为72吨，要求设专人打扫卫生，设置密闭垃圾箱，每天收集施工区域的生活垃圾，交由环卫部门统一清运、处理。</w:t>
      </w:r>
    </w:p>
    <w:p>
      <w:pPr>
        <w:adjustRightInd w:val="0"/>
        <w:snapToGrid w:val="0"/>
        <w:spacing w:line="360" w:lineRule="auto"/>
        <w:ind w:firstLine="480" w:firstLineChars="200"/>
        <w:rPr>
          <w:sz w:val="24"/>
        </w:rPr>
      </w:pPr>
      <w:r>
        <w:rPr>
          <w:sz w:val="24"/>
        </w:rPr>
        <w:t>2、建筑垃圾</w:t>
      </w:r>
    </w:p>
    <w:p>
      <w:pPr>
        <w:adjustRightInd w:val="0"/>
        <w:snapToGrid w:val="0"/>
        <w:spacing w:line="360" w:lineRule="auto"/>
        <w:ind w:firstLine="480" w:firstLineChars="200"/>
        <w:rPr>
          <w:sz w:val="24"/>
        </w:rPr>
      </w:pPr>
      <w:r>
        <w:rPr>
          <w:sz w:val="24"/>
        </w:rPr>
        <w:t>施工过程将产生一定量的建筑废弃物，同时在建筑施工期间需要挖土、运输各种建筑材料如砂石、水泥、砖瓦等。工程完工后，会残留部分废弃的建筑材料，若处置不当，遇暴雨降水等会冲刷流失到水环境中造成水体污染。施工单位应要求施工单位规划运输，不能随路洒落，不能随意倾倒、堆放建筑垃圾；施工结束后，应及时清运多余或废弃的建筑材料、建筑垃圾。</w:t>
      </w:r>
    </w:p>
    <w:p>
      <w:pPr>
        <w:adjustRightInd w:val="0"/>
        <w:snapToGrid w:val="0"/>
        <w:spacing w:line="360" w:lineRule="auto"/>
        <w:ind w:firstLine="480" w:firstLineChars="200"/>
        <w:rPr>
          <w:rFonts w:hint="eastAsia"/>
          <w:sz w:val="24"/>
        </w:rPr>
      </w:pPr>
      <w:r>
        <w:rPr>
          <w:sz w:val="24"/>
        </w:rPr>
        <w:t>据类比调查，一般建筑垃圾发生量约为20 kg/m</w:t>
      </w:r>
      <w:r>
        <w:rPr>
          <w:sz w:val="24"/>
          <w:vertAlign w:val="superscript"/>
        </w:rPr>
        <w:t>2</w:t>
      </w:r>
      <w:r>
        <w:rPr>
          <w:sz w:val="24"/>
        </w:rPr>
        <w:t>，即单位建筑面积的发生量为20 kg。现项目建筑面积为5</w:t>
      </w:r>
      <w:r>
        <w:rPr>
          <w:rFonts w:hint="eastAsia"/>
          <w:sz w:val="24"/>
        </w:rPr>
        <w:t>16562.44</w:t>
      </w:r>
      <w:r>
        <w:rPr>
          <w:sz w:val="24"/>
        </w:rPr>
        <w:t>m</w:t>
      </w:r>
      <w:r>
        <w:rPr>
          <w:sz w:val="24"/>
          <w:vertAlign w:val="superscript"/>
        </w:rPr>
        <w:t>2</w:t>
      </w:r>
      <w:r>
        <w:rPr>
          <w:sz w:val="24"/>
        </w:rPr>
        <w:t>，则项目施工期间建筑垃圾发生量为</w:t>
      </w:r>
      <w:r>
        <w:rPr>
          <w:rFonts w:hint="eastAsia"/>
          <w:sz w:val="24"/>
        </w:rPr>
        <w:t>10331</w:t>
      </w:r>
      <w:r>
        <w:rPr>
          <w:sz w:val="24"/>
        </w:rPr>
        <w:t>吨。施工产生的各类垃圾废弃物应堆置在规定的地点，施工中不得随意抛弃建筑材料、残土、旧料和其他杂物。</w:t>
      </w:r>
    </w:p>
    <w:p>
      <w:pPr>
        <w:pStyle w:val="4"/>
        <w:adjustRightInd w:val="0"/>
        <w:snapToGrid w:val="0"/>
        <w:spacing w:before="0" w:after="0" w:line="360" w:lineRule="auto"/>
        <w:rPr>
          <w:bCs w:val="0"/>
          <w:sz w:val="24"/>
          <w:szCs w:val="24"/>
        </w:rPr>
      </w:pPr>
      <w:bookmarkStart w:id="116" w:name="_Toc435690412"/>
      <w:r>
        <w:rPr>
          <w:rFonts w:hint="eastAsia"/>
          <w:bCs w:val="0"/>
          <w:sz w:val="24"/>
          <w:szCs w:val="24"/>
        </w:rPr>
        <w:t>2.5.7</w:t>
      </w:r>
      <w:r>
        <w:rPr>
          <w:bCs w:val="0"/>
          <w:sz w:val="24"/>
          <w:szCs w:val="24"/>
        </w:rPr>
        <w:t>施工期的生态环境影响分析及防治措施</w:t>
      </w:r>
      <w:bookmarkEnd w:id="116"/>
    </w:p>
    <w:p>
      <w:pPr>
        <w:pStyle w:val="5"/>
        <w:keepNext w:val="0"/>
        <w:keepLines w:val="0"/>
        <w:adjustRightInd w:val="0"/>
        <w:snapToGrid w:val="0"/>
        <w:spacing w:before="0" w:after="0" w:line="360" w:lineRule="auto"/>
        <w:rPr>
          <w:rFonts w:ascii="Times New Roman" w:hAnsi="Times New Roman" w:eastAsia="宋体"/>
          <w:bCs w:val="0"/>
          <w:kern w:val="0"/>
          <w:sz w:val="24"/>
          <w:szCs w:val="24"/>
        </w:rPr>
      </w:pPr>
      <w:r>
        <w:rPr>
          <w:rFonts w:hint="eastAsia" w:ascii="Times New Roman" w:hAnsi="Times New Roman" w:eastAsia="宋体"/>
          <w:bCs w:val="0"/>
          <w:kern w:val="0"/>
          <w:sz w:val="24"/>
          <w:szCs w:val="24"/>
        </w:rPr>
        <w:t>2.5.7.1</w:t>
      </w:r>
      <w:r>
        <w:rPr>
          <w:rFonts w:ascii="Times New Roman" w:hAnsi="Times New Roman" w:eastAsia="宋体"/>
          <w:bCs w:val="0"/>
          <w:kern w:val="0"/>
          <w:sz w:val="24"/>
          <w:szCs w:val="24"/>
        </w:rPr>
        <w:t>项目建设的土方平衡分析</w:t>
      </w:r>
    </w:p>
    <w:p>
      <w:pPr>
        <w:adjustRightInd w:val="0"/>
        <w:snapToGrid w:val="0"/>
        <w:spacing w:line="360" w:lineRule="auto"/>
        <w:ind w:firstLine="480" w:firstLineChars="200"/>
        <w:rPr>
          <w:sz w:val="24"/>
        </w:rPr>
      </w:pPr>
      <w:r>
        <w:rPr>
          <w:rFonts w:hint="eastAsia"/>
          <w:kern w:val="0"/>
          <w:sz w:val="24"/>
        </w:rPr>
        <w:t>建设</w:t>
      </w:r>
      <w:r>
        <w:rPr>
          <w:sz w:val="24"/>
        </w:rPr>
        <w:t>项目用地属于人工化的生态系统，</w:t>
      </w:r>
      <w:r>
        <w:rPr>
          <w:kern w:val="0"/>
          <w:sz w:val="24"/>
        </w:rPr>
        <w:t>现状主要用地类型为杂草丛、空地，</w:t>
      </w:r>
      <w:r>
        <w:rPr>
          <w:sz w:val="24"/>
        </w:rPr>
        <w:t>无珍贵野生动物活动。项目区域生态系统敏感程度较低，项目的建设实施不会对本区域的生物栖息环境造成大的影响。</w:t>
      </w:r>
    </w:p>
    <w:p>
      <w:pPr>
        <w:autoSpaceDE w:val="0"/>
        <w:autoSpaceDN w:val="0"/>
        <w:adjustRightInd w:val="0"/>
        <w:snapToGrid w:val="0"/>
        <w:spacing w:line="360" w:lineRule="auto"/>
        <w:ind w:firstLine="480" w:firstLineChars="200"/>
        <w:rPr>
          <w:sz w:val="24"/>
        </w:rPr>
      </w:pPr>
      <w:r>
        <w:rPr>
          <w:sz w:val="24"/>
        </w:rPr>
        <w:t>建设期间地基等工程施工时要进行开挖，可能在挖土方处会产生水土流失的现象，在建设过程中对区块施工工地采取多种措施，有效控制区域水土流失。工程多余的废土、废渣严禁随意乱放乱弃，按照施工渣土的管理要求在运往指定地区堆放。</w:t>
      </w:r>
    </w:p>
    <w:p>
      <w:pPr>
        <w:autoSpaceDE w:val="0"/>
        <w:autoSpaceDN w:val="0"/>
        <w:adjustRightInd w:val="0"/>
        <w:snapToGrid w:val="0"/>
        <w:spacing w:line="360" w:lineRule="auto"/>
        <w:ind w:firstLine="480" w:firstLineChars="200"/>
        <w:rPr>
          <w:sz w:val="24"/>
        </w:rPr>
      </w:pPr>
      <w:r>
        <w:rPr>
          <w:sz w:val="24"/>
        </w:rPr>
        <w:t>根据工程设计规模，并结合地下建筑面积分析，本项目地下建筑面积为约40580.85 m</w:t>
      </w:r>
      <w:r>
        <w:rPr>
          <w:sz w:val="24"/>
          <w:vertAlign w:val="superscript"/>
        </w:rPr>
        <w:t>2</w:t>
      </w:r>
      <w:r>
        <w:rPr>
          <w:sz w:val="24"/>
        </w:rPr>
        <w:t>，土方挖填总量约为23万方，其中挖方11.5万方，填方11.5万方，土方基本平衡。开挖的土方用于本项目建筑用景观花坛、交通道路，土方不外运，全部回用。本项目的土石方平衡见表</w:t>
      </w:r>
      <w:r>
        <w:rPr>
          <w:rFonts w:hint="eastAsia"/>
          <w:sz w:val="24"/>
        </w:rPr>
        <w:t>2.5-4</w:t>
      </w:r>
      <w:r>
        <w:rPr>
          <w:sz w:val="24"/>
        </w:rPr>
        <w:t>所示。</w:t>
      </w:r>
    </w:p>
    <w:p>
      <w:pPr>
        <w:pStyle w:val="33"/>
        <w:adjustRightInd w:val="0"/>
        <w:snapToGrid w:val="0"/>
        <w:spacing w:after="0" w:line="240" w:lineRule="auto"/>
        <w:ind w:left="0" w:leftChars="0" w:firstLine="220"/>
        <w:jc w:val="center"/>
        <w:rPr>
          <w:b/>
          <w:sz w:val="22"/>
        </w:rPr>
      </w:pPr>
      <w:r>
        <w:rPr>
          <w:b/>
          <w:sz w:val="22"/>
        </w:rPr>
        <w:t>表</w:t>
      </w:r>
      <w:r>
        <w:rPr>
          <w:rFonts w:hint="eastAsia"/>
          <w:b/>
          <w:sz w:val="22"/>
        </w:rPr>
        <w:t>2.5-4</w:t>
      </w:r>
      <w:r>
        <w:rPr>
          <w:b/>
          <w:sz w:val="22"/>
        </w:rPr>
        <w:t xml:space="preserve">  工程建设土方平衡表  （单位：立方米）</w:t>
      </w:r>
    </w:p>
    <w:tbl>
      <w:tblPr>
        <w:tblStyle w:val="59"/>
        <w:tblW w:w="85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9"/>
        <w:gridCol w:w="2120"/>
        <w:gridCol w:w="2263"/>
        <w:gridCol w:w="18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229" w:type="dxa"/>
            <w:shd w:val="clear" w:color="auto" w:fill="auto"/>
            <w:vAlign w:val="center"/>
          </w:tcPr>
          <w:p>
            <w:pPr>
              <w:adjustRightInd w:val="0"/>
              <w:snapToGrid w:val="0"/>
              <w:spacing w:line="300" w:lineRule="exact"/>
              <w:ind w:firstLine="8" w:firstLineChars="4"/>
              <w:jc w:val="center"/>
              <w:rPr>
                <w:szCs w:val="21"/>
              </w:rPr>
            </w:pPr>
            <w:r>
              <w:rPr>
                <w:szCs w:val="21"/>
              </w:rPr>
              <w:t>项目名称</w:t>
            </w:r>
          </w:p>
        </w:tc>
        <w:tc>
          <w:tcPr>
            <w:tcW w:w="2120" w:type="dxa"/>
            <w:shd w:val="clear" w:color="auto" w:fill="auto"/>
            <w:vAlign w:val="center"/>
          </w:tcPr>
          <w:p>
            <w:pPr>
              <w:adjustRightInd w:val="0"/>
              <w:snapToGrid w:val="0"/>
              <w:spacing w:line="300" w:lineRule="exact"/>
              <w:ind w:firstLine="8" w:firstLineChars="4"/>
              <w:jc w:val="center"/>
              <w:rPr>
                <w:szCs w:val="21"/>
              </w:rPr>
            </w:pPr>
            <w:r>
              <w:rPr>
                <w:szCs w:val="21"/>
              </w:rPr>
              <w:t>挖土</w:t>
            </w:r>
          </w:p>
        </w:tc>
        <w:tc>
          <w:tcPr>
            <w:tcW w:w="2263" w:type="dxa"/>
            <w:shd w:val="clear" w:color="auto" w:fill="auto"/>
            <w:vAlign w:val="center"/>
          </w:tcPr>
          <w:p>
            <w:pPr>
              <w:adjustRightInd w:val="0"/>
              <w:snapToGrid w:val="0"/>
              <w:spacing w:line="300" w:lineRule="exact"/>
              <w:ind w:firstLine="8" w:firstLineChars="4"/>
              <w:jc w:val="center"/>
              <w:rPr>
                <w:szCs w:val="21"/>
              </w:rPr>
            </w:pPr>
            <w:r>
              <w:rPr>
                <w:szCs w:val="21"/>
              </w:rPr>
              <w:t>填土</w:t>
            </w:r>
          </w:p>
        </w:tc>
        <w:tc>
          <w:tcPr>
            <w:tcW w:w="1889" w:type="dxa"/>
            <w:shd w:val="clear" w:color="auto" w:fill="auto"/>
            <w:vAlign w:val="center"/>
          </w:tcPr>
          <w:p>
            <w:pPr>
              <w:adjustRightInd w:val="0"/>
              <w:snapToGrid w:val="0"/>
              <w:spacing w:line="300" w:lineRule="exact"/>
              <w:ind w:firstLine="8" w:firstLineChars="4"/>
              <w:jc w:val="center"/>
              <w:rPr>
                <w:szCs w:val="21"/>
              </w:rPr>
            </w:pPr>
            <w:r>
              <w:rPr>
                <w:szCs w:val="21"/>
              </w:rPr>
              <w:t>余土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229" w:type="dxa"/>
            <w:shd w:val="clear" w:color="auto" w:fill="auto"/>
            <w:vAlign w:val="center"/>
          </w:tcPr>
          <w:p>
            <w:pPr>
              <w:adjustRightInd w:val="0"/>
              <w:snapToGrid w:val="0"/>
              <w:spacing w:line="300" w:lineRule="exact"/>
              <w:ind w:firstLine="8" w:firstLineChars="4"/>
              <w:jc w:val="center"/>
              <w:rPr>
                <w:szCs w:val="21"/>
              </w:rPr>
            </w:pPr>
            <w:r>
              <w:rPr>
                <w:szCs w:val="21"/>
              </w:rPr>
              <w:t>主体建筑物</w:t>
            </w:r>
          </w:p>
        </w:tc>
        <w:tc>
          <w:tcPr>
            <w:tcW w:w="2120" w:type="dxa"/>
            <w:shd w:val="clear" w:color="auto" w:fill="auto"/>
            <w:vAlign w:val="center"/>
          </w:tcPr>
          <w:p>
            <w:pPr>
              <w:jc w:val="center"/>
              <w:rPr>
                <w:szCs w:val="21"/>
              </w:rPr>
            </w:pPr>
            <w:r>
              <w:rPr>
                <w:szCs w:val="21"/>
              </w:rPr>
              <w:t>114622</w:t>
            </w:r>
          </w:p>
        </w:tc>
        <w:tc>
          <w:tcPr>
            <w:tcW w:w="2263" w:type="dxa"/>
            <w:shd w:val="clear" w:color="auto" w:fill="auto"/>
            <w:vAlign w:val="center"/>
          </w:tcPr>
          <w:p>
            <w:pPr>
              <w:jc w:val="center"/>
              <w:rPr>
                <w:szCs w:val="21"/>
              </w:rPr>
            </w:pPr>
            <w:r>
              <w:rPr>
                <w:szCs w:val="21"/>
              </w:rPr>
              <w:t>85718</w:t>
            </w:r>
          </w:p>
        </w:tc>
        <w:tc>
          <w:tcPr>
            <w:tcW w:w="1889" w:type="dxa"/>
            <w:shd w:val="clear" w:color="auto" w:fill="auto"/>
            <w:vAlign w:val="center"/>
          </w:tcPr>
          <w:p>
            <w:pPr>
              <w:jc w:val="center"/>
              <w:rPr>
                <w:szCs w:val="21"/>
              </w:rPr>
            </w:pPr>
            <w:r>
              <w:rPr>
                <w:szCs w:val="21"/>
              </w:rPr>
              <w:t>28904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229" w:type="dxa"/>
            <w:shd w:val="clear" w:color="auto" w:fill="auto"/>
            <w:vAlign w:val="center"/>
          </w:tcPr>
          <w:p>
            <w:pPr>
              <w:adjustRightInd w:val="0"/>
              <w:snapToGrid w:val="0"/>
              <w:spacing w:line="300" w:lineRule="exact"/>
              <w:ind w:firstLine="8" w:firstLineChars="4"/>
              <w:jc w:val="center"/>
              <w:rPr>
                <w:szCs w:val="21"/>
              </w:rPr>
            </w:pPr>
            <w:r>
              <w:rPr>
                <w:szCs w:val="21"/>
              </w:rPr>
              <w:t>景观花坛</w:t>
            </w:r>
          </w:p>
        </w:tc>
        <w:tc>
          <w:tcPr>
            <w:tcW w:w="2120" w:type="dxa"/>
            <w:shd w:val="clear" w:color="auto" w:fill="auto"/>
            <w:vAlign w:val="center"/>
          </w:tcPr>
          <w:p>
            <w:pPr>
              <w:jc w:val="center"/>
              <w:rPr>
                <w:szCs w:val="21"/>
              </w:rPr>
            </w:pPr>
            <w:r>
              <w:rPr>
                <w:szCs w:val="21"/>
              </w:rPr>
              <w:t>0</w:t>
            </w:r>
          </w:p>
        </w:tc>
        <w:tc>
          <w:tcPr>
            <w:tcW w:w="2263" w:type="dxa"/>
            <w:shd w:val="clear" w:color="auto" w:fill="auto"/>
            <w:vAlign w:val="center"/>
          </w:tcPr>
          <w:p>
            <w:pPr>
              <w:jc w:val="center"/>
              <w:rPr>
                <w:rFonts w:eastAsia="微软雅黑"/>
                <w:szCs w:val="21"/>
              </w:rPr>
            </w:pPr>
            <w:r>
              <w:rPr>
                <w:rFonts w:eastAsia="微软雅黑"/>
                <w:szCs w:val="21"/>
              </w:rPr>
              <w:t>5781</w:t>
            </w:r>
          </w:p>
        </w:tc>
        <w:tc>
          <w:tcPr>
            <w:tcW w:w="1889" w:type="dxa"/>
            <w:shd w:val="clear" w:color="auto" w:fill="auto"/>
            <w:vAlign w:val="center"/>
          </w:tcPr>
          <w:p>
            <w:pPr>
              <w:jc w:val="center"/>
              <w:rPr>
                <w:rFonts w:eastAsia="微软雅黑"/>
                <w:szCs w:val="21"/>
              </w:rPr>
            </w:pPr>
            <w:r>
              <w:rPr>
                <w:rFonts w:eastAsia="微软雅黑"/>
                <w:szCs w:val="21"/>
              </w:rPr>
              <w:t>-5781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2229" w:type="dxa"/>
            <w:shd w:val="clear" w:color="auto" w:fill="auto"/>
            <w:vAlign w:val="center"/>
          </w:tcPr>
          <w:p>
            <w:pPr>
              <w:adjustRightInd w:val="0"/>
              <w:snapToGrid w:val="0"/>
              <w:spacing w:line="300" w:lineRule="exact"/>
              <w:ind w:firstLine="8" w:firstLineChars="4"/>
              <w:jc w:val="center"/>
              <w:rPr>
                <w:szCs w:val="21"/>
              </w:rPr>
            </w:pPr>
            <w:r>
              <w:rPr>
                <w:szCs w:val="21"/>
              </w:rPr>
              <w:t>交通道路</w:t>
            </w:r>
          </w:p>
        </w:tc>
        <w:tc>
          <w:tcPr>
            <w:tcW w:w="2120" w:type="dxa"/>
            <w:shd w:val="clear" w:color="auto" w:fill="auto"/>
            <w:vAlign w:val="center"/>
          </w:tcPr>
          <w:p>
            <w:pPr>
              <w:jc w:val="center"/>
              <w:rPr>
                <w:szCs w:val="21"/>
              </w:rPr>
            </w:pPr>
            <w:r>
              <w:rPr>
                <w:szCs w:val="21"/>
              </w:rPr>
              <w:t>0</w:t>
            </w:r>
          </w:p>
        </w:tc>
        <w:tc>
          <w:tcPr>
            <w:tcW w:w="2263" w:type="dxa"/>
            <w:shd w:val="clear" w:color="auto" w:fill="auto"/>
            <w:vAlign w:val="center"/>
          </w:tcPr>
          <w:p>
            <w:pPr>
              <w:jc w:val="center"/>
              <w:rPr>
                <w:szCs w:val="21"/>
              </w:rPr>
            </w:pPr>
            <w:r>
              <w:rPr>
                <w:szCs w:val="21"/>
              </w:rPr>
              <w:t xml:space="preserve">23123 </w:t>
            </w:r>
          </w:p>
        </w:tc>
        <w:tc>
          <w:tcPr>
            <w:tcW w:w="1889" w:type="dxa"/>
            <w:shd w:val="clear" w:color="auto" w:fill="auto"/>
            <w:vAlign w:val="center"/>
          </w:tcPr>
          <w:p>
            <w:pPr>
              <w:jc w:val="center"/>
              <w:rPr>
                <w:szCs w:val="21"/>
              </w:rPr>
            </w:pPr>
            <w:r>
              <w:rPr>
                <w:szCs w:val="21"/>
              </w:rPr>
              <w:t xml:space="preserve">-23123 </w:t>
            </w:r>
          </w:p>
        </w:tc>
      </w:tr>
    </w:tbl>
    <w:p>
      <w:pPr>
        <w:autoSpaceDE w:val="0"/>
        <w:autoSpaceDN w:val="0"/>
        <w:adjustRightInd w:val="0"/>
        <w:snapToGrid w:val="0"/>
        <w:spacing w:line="360" w:lineRule="auto"/>
        <w:ind w:firstLine="480" w:firstLineChars="200"/>
        <w:rPr>
          <w:sz w:val="24"/>
        </w:rPr>
      </w:pPr>
    </w:p>
    <w:p>
      <w:pPr>
        <w:pStyle w:val="5"/>
        <w:keepNext w:val="0"/>
        <w:keepLines w:val="0"/>
        <w:adjustRightInd w:val="0"/>
        <w:snapToGrid w:val="0"/>
        <w:spacing w:before="0" w:after="0" w:line="360" w:lineRule="auto"/>
        <w:rPr>
          <w:rFonts w:ascii="Times New Roman" w:hAnsi="Times New Roman" w:eastAsia="宋体"/>
          <w:bCs w:val="0"/>
          <w:kern w:val="0"/>
          <w:sz w:val="24"/>
          <w:szCs w:val="24"/>
        </w:rPr>
      </w:pPr>
      <w:r>
        <w:rPr>
          <w:rFonts w:hint="eastAsia" w:ascii="Times New Roman" w:hAnsi="Times New Roman" w:eastAsia="宋体"/>
          <w:bCs w:val="0"/>
          <w:kern w:val="0"/>
          <w:sz w:val="24"/>
          <w:szCs w:val="24"/>
        </w:rPr>
        <w:t>2.5.7.2</w:t>
      </w:r>
      <w:r>
        <w:rPr>
          <w:rFonts w:ascii="Times New Roman" w:hAnsi="Times New Roman" w:eastAsia="宋体"/>
          <w:bCs w:val="0"/>
          <w:kern w:val="0"/>
          <w:sz w:val="24"/>
          <w:szCs w:val="24"/>
        </w:rPr>
        <w:t>水土保持方案分析</w:t>
      </w:r>
    </w:p>
    <w:p>
      <w:pPr>
        <w:autoSpaceDE w:val="0"/>
        <w:autoSpaceDN w:val="0"/>
        <w:adjustRightInd w:val="0"/>
        <w:snapToGrid w:val="0"/>
        <w:spacing w:line="360" w:lineRule="auto"/>
        <w:ind w:firstLine="480" w:firstLineChars="200"/>
        <w:rPr>
          <w:sz w:val="24"/>
        </w:rPr>
      </w:pPr>
      <w:r>
        <w:rPr>
          <w:sz w:val="24"/>
        </w:rPr>
        <w:t>本项目施工期水土流失主要是由于场地平整及土方临时堆存造成的。水土流失采用下式计算：</w:t>
      </w:r>
    </w:p>
    <w:p>
      <w:pPr>
        <w:autoSpaceDE w:val="0"/>
        <w:autoSpaceDN w:val="0"/>
        <w:adjustRightInd w:val="0"/>
        <w:snapToGrid w:val="0"/>
        <w:spacing w:line="360" w:lineRule="auto"/>
        <w:jc w:val="center"/>
        <w:rPr>
          <w:sz w:val="24"/>
        </w:rPr>
      </w:pPr>
      <w:r>
        <w:rPr>
          <w:i/>
          <w:sz w:val="24"/>
        </w:rPr>
        <w:t>A</w:t>
      </w:r>
      <w:r>
        <w:rPr>
          <w:sz w:val="24"/>
        </w:rPr>
        <w:t xml:space="preserve"> = </w:t>
      </w:r>
      <w:r>
        <w:rPr>
          <w:i/>
          <w:sz w:val="24"/>
        </w:rPr>
        <w:t>R</w:t>
      </w:r>
      <w:r>
        <w:rPr>
          <w:rFonts w:ascii="Cambria Math" w:hAnsi="Cambria Math" w:cs="Cambria Math"/>
          <w:sz w:val="24"/>
        </w:rPr>
        <w:t>⋅</w:t>
      </w:r>
      <w:r>
        <w:rPr>
          <w:i/>
          <w:sz w:val="24"/>
        </w:rPr>
        <w:t>K</w:t>
      </w:r>
      <w:r>
        <w:rPr>
          <w:rFonts w:ascii="Cambria Math" w:hAnsi="Cambria Math" w:cs="Cambria Math"/>
          <w:sz w:val="24"/>
        </w:rPr>
        <w:t>⋅</w:t>
      </w:r>
      <w:r>
        <w:rPr>
          <w:i/>
          <w:sz w:val="24"/>
        </w:rPr>
        <w:t>LS</w:t>
      </w:r>
      <w:r>
        <w:rPr>
          <w:rFonts w:ascii="Cambria Math" w:hAnsi="Cambria Math" w:cs="Cambria Math"/>
          <w:sz w:val="24"/>
        </w:rPr>
        <w:t>⋅</w:t>
      </w:r>
      <w:r>
        <w:rPr>
          <w:i/>
          <w:sz w:val="24"/>
        </w:rPr>
        <w:t>C</w:t>
      </w:r>
      <w:r>
        <w:rPr>
          <w:rFonts w:ascii="Cambria Math" w:hAnsi="Cambria Math" w:cs="Cambria Math"/>
          <w:sz w:val="24"/>
        </w:rPr>
        <w:t>⋅</w:t>
      </w:r>
      <w:r>
        <w:rPr>
          <w:i/>
          <w:sz w:val="24"/>
        </w:rPr>
        <w:t>P</w:t>
      </w:r>
    </w:p>
    <w:p>
      <w:pPr>
        <w:autoSpaceDE w:val="0"/>
        <w:autoSpaceDN w:val="0"/>
        <w:adjustRightInd w:val="0"/>
        <w:snapToGrid w:val="0"/>
        <w:spacing w:line="360" w:lineRule="auto"/>
        <w:ind w:firstLine="480" w:firstLineChars="200"/>
        <w:rPr>
          <w:sz w:val="24"/>
        </w:rPr>
      </w:pPr>
      <w:r>
        <w:rPr>
          <w:sz w:val="24"/>
        </w:rPr>
        <w:t>式中：</w:t>
      </w:r>
      <w:r>
        <w:rPr>
          <w:i/>
          <w:sz w:val="24"/>
        </w:rPr>
        <w:t>A</w:t>
      </w:r>
      <w:r>
        <w:rPr>
          <w:sz w:val="24"/>
        </w:rPr>
        <w:t xml:space="preserve"> —土壤侵蚀模数，单位为t/（km</w:t>
      </w:r>
      <w:r>
        <w:rPr>
          <w:sz w:val="24"/>
          <w:vertAlign w:val="superscript"/>
        </w:rPr>
        <w:t>2</w:t>
      </w:r>
      <w:r>
        <w:rPr>
          <w:sz w:val="24"/>
        </w:rPr>
        <w:t>•a）；</w:t>
      </w:r>
    </w:p>
    <w:p>
      <w:pPr>
        <w:autoSpaceDE w:val="0"/>
        <w:autoSpaceDN w:val="0"/>
        <w:adjustRightInd w:val="0"/>
        <w:snapToGrid w:val="0"/>
        <w:spacing w:line="360" w:lineRule="auto"/>
        <w:ind w:firstLine="1133" w:firstLineChars="472"/>
        <w:rPr>
          <w:sz w:val="24"/>
        </w:rPr>
      </w:pPr>
      <w:r>
        <w:rPr>
          <w:i/>
          <w:sz w:val="24"/>
        </w:rPr>
        <w:t>R</w:t>
      </w:r>
      <w:r>
        <w:rPr>
          <w:sz w:val="24"/>
        </w:rPr>
        <w:t xml:space="preserve"> —降雨侵蚀因子；</w:t>
      </w:r>
    </w:p>
    <w:p>
      <w:pPr>
        <w:autoSpaceDE w:val="0"/>
        <w:autoSpaceDN w:val="0"/>
        <w:adjustRightInd w:val="0"/>
        <w:snapToGrid w:val="0"/>
        <w:spacing w:line="360" w:lineRule="auto"/>
        <w:ind w:firstLine="1133" w:firstLineChars="472"/>
        <w:rPr>
          <w:sz w:val="24"/>
        </w:rPr>
      </w:pPr>
      <w:r>
        <w:rPr>
          <w:i/>
          <w:sz w:val="24"/>
        </w:rPr>
        <w:t>K</w:t>
      </w:r>
      <w:r>
        <w:rPr>
          <w:sz w:val="24"/>
        </w:rPr>
        <w:t xml:space="preserve"> —土壤可侵蚀因子；</w:t>
      </w:r>
    </w:p>
    <w:p>
      <w:pPr>
        <w:autoSpaceDE w:val="0"/>
        <w:autoSpaceDN w:val="0"/>
        <w:adjustRightInd w:val="0"/>
        <w:snapToGrid w:val="0"/>
        <w:spacing w:line="360" w:lineRule="auto"/>
        <w:ind w:firstLine="1133" w:firstLineChars="472"/>
        <w:rPr>
          <w:sz w:val="24"/>
        </w:rPr>
      </w:pPr>
      <w:r>
        <w:rPr>
          <w:i/>
          <w:kern w:val="0"/>
          <w:sz w:val="24"/>
        </w:rPr>
        <w:t>LS</w:t>
      </w:r>
      <w:r>
        <w:rPr>
          <w:kern w:val="0"/>
          <w:sz w:val="24"/>
        </w:rPr>
        <w:t xml:space="preserve"> —地形因子，</w:t>
      </w:r>
      <w:r>
        <w:rPr>
          <w:position w:val="-24"/>
          <w:sz w:val="24"/>
        </w:rPr>
        <w:object>
          <v:shape id="_x0000_i1029" o:spt="75" type="#_x0000_t75" style="height:31pt;width:233pt;" o:ole="t" filled="f" stroked="f" coordsize="21600,21600">
            <v:path/>
            <v:fill on="f" focussize="0,0"/>
            <v:stroke on="f"/>
            <v:imagedata r:id="rId15" o:title=""/>
            <o:lock v:ext="edit" aspectratio="t"/>
            <w10:wrap type="none"/>
            <w10:anchorlock/>
          </v:shape>
          <o:OLEObject Type="Embed" ProgID="Equation.DSMT4" ShapeID="_x0000_i1029" DrawAspect="Content" ObjectID="_1468075728" r:id="rId14"/>
        </w:object>
      </w:r>
      <w:r>
        <w:rPr>
          <w:sz w:val="24"/>
        </w:rPr>
        <w:t>，其中，</w:t>
      </w:r>
      <w:r>
        <w:rPr>
          <w:position w:val="-6"/>
          <w:sz w:val="24"/>
        </w:rPr>
        <w:object>
          <v:shape id="_x0000_i1030" o:spt="75" type="#_x0000_t75" style="height:13.95pt;width:11pt;" o:ole="t" filled="f" stroked="f" coordsize="21600,21600">
            <v:path/>
            <v:fill on="f" focussize="0,0"/>
            <v:stroke on="f"/>
            <v:imagedata r:id="rId17" o:title=""/>
            <o:lock v:ext="edit" aspectratio="t"/>
            <w10:wrap type="none"/>
            <w10:anchorlock/>
          </v:shape>
          <o:OLEObject Type="Embed" ProgID="Equation.DSMT4" ShapeID="_x0000_i1030" DrawAspect="Content" ObjectID="_1468075729" r:id="rId16"/>
        </w:object>
      </w:r>
      <w:r>
        <w:rPr>
          <w:sz w:val="24"/>
        </w:rPr>
        <w:t>为坡长，</w:t>
      </w:r>
      <w:r>
        <w:rPr>
          <w:position w:val="-6"/>
          <w:sz w:val="24"/>
        </w:rPr>
        <w:object>
          <v:shape id="_x0000_i1031" o:spt="75" type="#_x0000_t75" style="height:13.95pt;width:10pt;" o:ole="t" filled="f" stroked="f" coordsize="21600,21600">
            <v:path/>
            <v:fill on="f" focussize="0,0"/>
            <v:stroke on="f"/>
            <v:imagedata r:id="rId19" o:title=""/>
            <o:lock v:ext="edit" aspectratio="t"/>
            <w10:wrap type="none"/>
            <w10:anchorlock/>
          </v:shape>
          <o:OLEObject Type="Embed" ProgID="Equation.DSMT4" ShapeID="_x0000_i1031" DrawAspect="Content" ObjectID="_1468075730" r:id="rId18"/>
        </w:object>
      </w:r>
      <w:r>
        <w:rPr>
          <w:sz w:val="24"/>
        </w:rPr>
        <w:t>为坡面的角度，</w:t>
      </w:r>
      <w:r>
        <w:rPr>
          <w:i/>
          <w:sz w:val="24"/>
        </w:rPr>
        <w:t>m</w:t>
      </w:r>
      <w:r>
        <w:rPr>
          <w:sz w:val="24"/>
        </w:rPr>
        <w:t>为经验指数，取0.5。</w:t>
      </w:r>
    </w:p>
    <w:p>
      <w:pPr>
        <w:autoSpaceDE w:val="0"/>
        <w:autoSpaceDN w:val="0"/>
        <w:adjustRightInd w:val="0"/>
        <w:snapToGrid w:val="0"/>
        <w:spacing w:line="360" w:lineRule="auto"/>
        <w:ind w:firstLine="1133" w:firstLineChars="472"/>
        <w:rPr>
          <w:sz w:val="24"/>
        </w:rPr>
      </w:pPr>
      <w:r>
        <w:rPr>
          <w:i/>
          <w:sz w:val="24"/>
        </w:rPr>
        <w:t>C</w:t>
      </w:r>
      <w:r>
        <w:rPr>
          <w:sz w:val="24"/>
        </w:rPr>
        <w:t xml:space="preserve"> —覆盖和管理因子；</w:t>
      </w:r>
    </w:p>
    <w:p>
      <w:pPr>
        <w:autoSpaceDE w:val="0"/>
        <w:autoSpaceDN w:val="0"/>
        <w:adjustRightInd w:val="0"/>
        <w:snapToGrid w:val="0"/>
        <w:spacing w:line="360" w:lineRule="auto"/>
        <w:ind w:firstLine="1133" w:firstLineChars="472"/>
        <w:rPr>
          <w:sz w:val="24"/>
        </w:rPr>
      </w:pPr>
      <w:r>
        <w:rPr>
          <w:i/>
          <w:sz w:val="24"/>
        </w:rPr>
        <w:t>P</w:t>
      </w:r>
      <w:r>
        <w:rPr>
          <w:sz w:val="24"/>
        </w:rPr>
        <w:t xml:space="preserve"> —水土保持因子；</w:t>
      </w:r>
    </w:p>
    <w:p>
      <w:pPr>
        <w:autoSpaceDE w:val="0"/>
        <w:autoSpaceDN w:val="0"/>
        <w:adjustRightInd w:val="0"/>
        <w:snapToGrid w:val="0"/>
        <w:spacing w:line="360" w:lineRule="auto"/>
        <w:ind w:firstLine="480" w:firstLineChars="200"/>
        <w:rPr>
          <w:sz w:val="24"/>
        </w:rPr>
      </w:pPr>
      <w:r>
        <w:rPr>
          <w:sz w:val="24"/>
        </w:rPr>
        <w:t>将施工前后的土壤侵蚀模数相比，得到下式：</w:t>
      </w:r>
    </w:p>
    <w:p>
      <w:pPr>
        <w:autoSpaceDE w:val="0"/>
        <w:autoSpaceDN w:val="0"/>
        <w:adjustRightInd w:val="0"/>
        <w:snapToGrid w:val="0"/>
        <w:spacing w:line="360" w:lineRule="auto"/>
        <w:jc w:val="center"/>
        <w:rPr>
          <w:sz w:val="24"/>
        </w:rPr>
      </w:pPr>
      <w:r>
        <w:rPr>
          <w:sz w:val="24"/>
        </w:rPr>
        <w:object>
          <v:shape id="_x0000_i1032" o:spt="75" type="#_x0000_t75" style="height:34pt;width:107pt;" o:ole="t" filled="f" stroked="f" coordsize="21600,21600">
            <v:path/>
            <v:fill on="f" focussize="0,0"/>
            <v:stroke on="f"/>
            <v:imagedata r:id="rId21" o:title=""/>
            <o:lock v:ext="edit" aspectratio="t"/>
            <w10:wrap type="none"/>
            <w10:anchorlock/>
          </v:shape>
          <o:OLEObject Type="Embed" ProgID="Equation.DSMT4" ShapeID="_x0000_i1032" DrawAspect="Content" ObjectID="_1468075731" r:id="rId20"/>
        </w:object>
      </w:r>
    </w:p>
    <w:p>
      <w:pPr>
        <w:autoSpaceDE w:val="0"/>
        <w:autoSpaceDN w:val="0"/>
        <w:adjustRightInd w:val="0"/>
        <w:snapToGrid w:val="0"/>
        <w:spacing w:line="360" w:lineRule="auto"/>
        <w:ind w:firstLine="480" w:firstLineChars="200"/>
        <w:rPr>
          <w:sz w:val="24"/>
        </w:rPr>
      </w:pPr>
      <w:r>
        <w:rPr>
          <w:kern w:val="0"/>
          <w:sz w:val="24"/>
        </w:rPr>
        <w:t>其中</w:t>
      </w:r>
      <w:r>
        <w:rPr>
          <w:position w:val="-12"/>
          <w:sz w:val="24"/>
        </w:rPr>
        <w:object>
          <v:shape id="_x0000_i1033" o:spt="75" type="#_x0000_t75" style="height:18.35pt;width:17.35pt;" o:ole="t" filled="f" stroked="f" coordsize="21600,21600">
            <v:path/>
            <v:fill on="f" focussize="0,0"/>
            <v:stroke on="f"/>
            <v:imagedata r:id="rId23" o:title=""/>
            <o:lock v:ext="edit" aspectratio="t"/>
            <w10:wrap type="none"/>
            <w10:anchorlock/>
          </v:shape>
          <o:OLEObject Type="Embed" ProgID="Equation.DSMT4" ShapeID="_x0000_i1033" DrawAspect="Content" ObjectID="_1468075732" r:id="rId22"/>
        </w:object>
      </w:r>
      <w:r>
        <w:rPr>
          <w:kern w:val="0"/>
          <w:sz w:val="24"/>
        </w:rPr>
        <w:t>为施工前的土壤侵蚀模数，</w:t>
      </w:r>
      <w:r>
        <w:rPr>
          <w:i/>
          <w:kern w:val="0"/>
          <w:sz w:val="24"/>
        </w:rPr>
        <w:t>A</w:t>
      </w:r>
      <w:r>
        <w:rPr>
          <w:kern w:val="0"/>
          <w:sz w:val="24"/>
        </w:rPr>
        <w:t>为施工期平整场地的土壤侵蚀模数。平整场地时，地表由植被覆盖变为裸露的压实土层，取</w:t>
      </w:r>
      <w:r>
        <w:rPr>
          <w:position w:val="-4"/>
          <w:sz w:val="24"/>
        </w:rPr>
        <w:object>
          <v:shape id="_x0000_i1034" o:spt="75" type="#_x0000_t75" style="height:13pt;width:13pt;" o:ole="t" filled="f" stroked="f" coordsize="21600,21600">
            <v:path/>
            <v:fill on="f" focussize="0,0"/>
            <v:stroke on="f"/>
            <v:imagedata r:id="rId25" o:title=""/>
            <o:lock v:ext="edit" aspectratio="t"/>
            <w10:wrap type="none"/>
            <w10:anchorlock/>
          </v:shape>
          <o:OLEObject Type="Embed" ProgID="Equation.DSMT4" ShapeID="_x0000_i1034" DrawAspect="Content" ObjectID="_1468075733" r:id="rId24"/>
        </w:object>
      </w:r>
      <w:r>
        <w:rPr>
          <w:kern w:val="0"/>
          <w:sz w:val="24"/>
        </w:rPr>
        <w:t>=</w:t>
      </w:r>
      <w:r>
        <w:rPr>
          <w:position w:val="-12"/>
          <w:sz w:val="24"/>
        </w:rPr>
        <w:object>
          <v:shape id="_x0000_i1035" o:spt="75" type="#_x0000_t75" style="height:18pt;width:16pt;" o:ole="t" filled="f" stroked="f" coordsize="21600,21600">
            <v:path/>
            <v:fill on="f" focussize="0,0"/>
            <v:stroke on="f"/>
            <v:imagedata r:id="rId27" o:title=""/>
            <o:lock v:ext="edit" aspectratio="t"/>
            <w10:wrap type="none"/>
            <w10:anchorlock/>
          </v:shape>
          <o:OLEObject Type="Embed" ProgID="Equation.DSMT4" ShapeID="_x0000_i1035" DrawAspect="Content" ObjectID="_1468075734" r:id="rId26"/>
        </w:object>
      </w:r>
      <w:r>
        <w:rPr>
          <w:kern w:val="0"/>
          <w:sz w:val="24"/>
        </w:rPr>
        <w:t>、</w:t>
      </w:r>
      <w:r>
        <w:rPr>
          <w:position w:val="-6"/>
          <w:sz w:val="24"/>
        </w:rPr>
        <w:object>
          <v:shape id="_x0000_i1036" o:spt="75" type="#_x0000_t75" style="height:13.95pt;width:18pt;" o:ole="t" filled="f" stroked="f" coordsize="21600,21600">
            <v:path/>
            <v:fill on="f" focussize="0,0"/>
            <v:stroke on="f"/>
            <v:imagedata r:id="rId29" o:title=""/>
            <o:lock v:ext="edit" aspectratio="t"/>
            <w10:wrap type="none"/>
            <w10:anchorlock/>
          </v:shape>
          <o:OLEObject Type="Embed" ProgID="Equation.DSMT4" ShapeID="_x0000_i1036" DrawAspect="Content" ObjectID="_1468075735" r:id="rId28"/>
        </w:object>
      </w:r>
      <w:r>
        <w:rPr>
          <w:kern w:val="0"/>
          <w:sz w:val="24"/>
        </w:rPr>
        <w:t>=</w:t>
      </w:r>
      <w:r>
        <w:rPr>
          <w:position w:val="-12"/>
          <w:sz w:val="24"/>
        </w:rPr>
        <w:object>
          <v:shape id="_x0000_i1037" o:spt="75" type="#_x0000_t75" style="height:18pt;width:21pt;" o:ole="t" filled="f" stroked="f" coordsize="21600,21600">
            <v:path/>
            <v:fill on="f" focussize="0,0"/>
            <v:stroke on="f"/>
            <v:imagedata r:id="rId31" o:title=""/>
            <o:lock v:ext="edit" aspectratio="t"/>
            <w10:wrap type="none"/>
            <w10:anchorlock/>
          </v:shape>
          <o:OLEObject Type="Embed" ProgID="Equation.DSMT4" ShapeID="_x0000_i1037" DrawAspect="Content" ObjectID="_1468075736" r:id="rId30"/>
        </w:object>
      </w:r>
      <w:r>
        <w:rPr>
          <w:kern w:val="0"/>
          <w:sz w:val="24"/>
        </w:rPr>
        <w:t>、</w:t>
      </w:r>
      <w:r>
        <w:rPr>
          <w:position w:val="-6"/>
          <w:sz w:val="24"/>
        </w:rPr>
        <w:object>
          <v:shape id="_x0000_i1038" o:spt="75" type="#_x0000_t75" style="height:13.95pt;width:12pt;" o:ole="t" filled="f" stroked="f" coordsize="21600,21600">
            <v:path/>
            <v:fill on="f" focussize="0,0"/>
            <v:stroke on="f"/>
            <v:imagedata r:id="rId33" o:title=""/>
            <o:lock v:ext="edit" aspectratio="t"/>
            <w10:wrap type="none"/>
            <w10:anchorlock/>
          </v:shape>
          <o:OLEObject Type="Embed" ProgID="Equation.DSMT4" ShapeID="_x0000_i1038" DrawAspect="Content" ObjectID="_1468075737" r:id="rId32"/>
        </w:object>
      </w:r>
      <w:r>
        <w:rPr>
          <w:kern w:val="0"/>
          <w:sz w:val="24"/>
        </w:rPr>
        <w:t>=1.0、</w:t>
      </w:r>
      <w:r>
        <w:rPr>
          <w:position w:val="-12"/>
          <w:sz w:val="24"/>
        </w:rPr>
        <w:object>
          <v:shape id="_x0000_i1039" o:spt="75" type="#_x0000_t75" style="height:18pt;width:15pt;" o:ole="t" filled="f" stroked="f" coordsize="21600,21600">
            <v:path/>
            <v:fill on="f" focussize="0,0"/>
            <v:stroke on="f"/>
            <v:imagedata r:id="rId35" o:title=""/>
            <o:lock v:ext="edit" aspectratio="t"/>
            <w10:wrap type="none"/>
            <w10:anchorlock/>
          </v:shape>
          <o:OLEObject Type="Embed" ProgID="Equation.DSMT4" ShapeID="_x0000_i1039" DrawAspect="Content" ObjectID="_1468075738" r:id="rId34"/>
        </w:object>
      </w:r>
      <w:r>
        <w:rPr>
          <w:kern w:val="0"/>
          <w:sz w:val="24"/>
        </w:rPr>
        <w:t>=0.5、</w:t>
      </w:r>
      <w:r>
        <w:rPr>
          <w:position w:val="-4"/>
          <w:sz w:val="24"/>
        </w:rPr>
        <w:object>
          <v:shape id="_x0000_i1040" o:spt="75" type="#_x0000_t75" style="height:13.1pt;width:13.6pt;" o:ole="t" filled="f" stroked="f" coordsize="21600,21600">
            <v:path/>
            <v:fill on="f" focussize="0,0"/>
            <v:stroke on="f"/>
            <v:imagedata r:id="rId37" o:title=""/>
            <o:lock v:ext="edit" aspectratio="t"/>
            <w10:wrap type="none"/>
            <w10:anchorlock/>
          </v:shape>
          <o:OLEObject Type="Embed" ProgID="Equation.DSMT4" ShapeID="_x0000_i1040" DrawAspect="Content" ObjectID="_1468075739" r:id="rId36"/>
        </w:object>
      </w:r>
      <w:r>
        <w:rPr>
          <w:kern w:val="0"/>
          <w:sz w:val="24"/>
        </w:rPr>
        <w:t>=0.7、</w:t>
      </w:r>
      <w:r>
        <w:rPr>
          <w:position w:val="-12"/>
          <w:sz w:val="24"/>
        </w:rPr>
        <w:object>
          <v:shape id="_x0000_i1041" o:spt="75" type="#_x0000_t75" style="height:18pt;width:13pt;" o:ole="t" filled="f" stroked="f" coordsize="21600,21600">
            <v:path/>
            <v:fill on="f" focussize="0,0"/>
            <v:stroke on="f"/>
            <v:imagedata r:id="rId39" o:title=""/>
            <o:lock v:ext="edit" aspectratio="t"/>
            <w10:wrap type="none"/>
            <w10:anchorlock/>
          </v:shape>
          <o:OLEObject Type="Embed" ProgID="Equation.DSMT4" ShapeID="_x0000_i1041" DrawAspect="Content" ObjectID="_1468075740" r:id="rId38"/>
        </w:object>
      </w:r>
      <w:r>
        <w:rPr>
          <w:kern w:val="0"/>
          <w:sz w:val="24"/>
        </w:rPr>
        <w:t>=0.5，则</w:t>
      </w:r>
      <w:r>
        <w:rPr>
          <w:position w:val="-12"/>
          <w:sz w:val="24"/>
        </w:rPr>
        <w:object>
          <v:shape id="_x0000_i1042" o:spt="75" type="#_x0000_t75" style="height:18pt;width:30pt;" o:ole="t" filled="f" stroked="f" coordsize="21600,21600">
            <v:path/>
            <v:fill on="f" focussize="0,0"/>
            <v:stroke on="f"/>
            <v:imagedata r:id="rId41" o:title=""/>
            <o:lock v:ext="edit" aspectratio="t"/>
            <w10:wrap type="none"/>
            <w10:anchorlock/>
          </v:shape>
          <o:OLEObject Type="Embed" ProgID="Equation.DSMT4" ShapeID="_x0000_i1042" DrawAspect="Content" ObjectID="_1468075741" r:id="rId40"/>
        </w:object>
      </w:r>
      <w:r>
        <w:rPr>
          <w:kern w:val="0"/>
          <w:sz w:val="24"/>
        </w:rPr>
        <w:t>=2.8。</w:t>
      </w:r>
    </w:p>
    <w:p>
      <w:pPr>
        <w:snapToGrid w:val="0"/>
        <w:spacing w:line="360" w:lineRule="auto"/>
        <w:ind w:firstLine="480" w:firstLineChars="200"/>
        <w:rPr>
          <w:sz w:val="24"/>
        </w:rPr>
      </w:pPr>
      <w:r>
        <w:rPr>
          <w:sz w:val="24"/>
        </w:rPr>
        <w:t>上述结果说明，施工期平整场地时，土地的土壤侵蚀模数将为原来的2.8倍。施工前的土壤侵蚀强度为微度，侵蚀模数&lt;500，则施工期原地块的侵蚀模数将增加为1200，为轻度侵蚀。</w:t>
      </w:r>
      <w:r>
        <w:rPr>
          <w:kern w:val="0"/>
          <w:sz w:val="24"/>
        </w:rPr>
        <w:t>本项目施工期水土流失为轻度侵蚀，水土流失的影响较小；施工结束后，通过硬化和绿化措施，土壤侵蚀强度会恢复原先的水平，水土流失的影响将会消除。</w:t>
      </w:r>
    </w:p>
    <w:p>
      <w:pPr>
        <w:pStyle w:val="5"/>
        <w:keepNext w:val="0"/>
        <w:keepLines w:val="0"/>
        <w:adjustRightInd w:val="0"/>
        <w:snapToGrid w:val="0"/>
        <w:spacing w:before="0" w:after="0" w:line="360" w:lineRule="auto"/>
        <w:rPr>
          <w:rFonts w:ascii="Times New Roman" w:hAnsi="Times New Roman" w:eastAsia="宋体"/>
          <w:bCs w:val="0"/>
          <w:kern w:val="0"/>
          <w:sz w:val="24"/>
          <w:szCs w:val="24"/>
        </w:rPr>
      </w:pPr>
      <w:r>
        <w:rPr>
          <w:rFonts w:hint="eastAsia" w:ascii="Times New Roman" w:hAnsi="Times New Roman" w:eastAsia="宋体"/>
          <w:bCs w:val="0"/>
          <w:kern w:val="0"/>
          <w:sz w:val="24"/>
          <w:szCs w:val="24"/>
        </w:rPr>
        <w:t>2.5.7.3</w:t>
      </w:r>
      <w:r>
        <w:rPr>
          <w:rFonts w:ascii="Times New Roman" w:hAnsi="Times New Roman" w:eastAsia="宋体"/>
          <w:bCs w:val="0"/>
          <w:kern w:val="0"/>
          <w:sz w:val="24"/>
          <w:szCs w:val="24"/>
        </w:rPr>
        <w:t>其它生态环境影响防治措施</w:t>
      </w:r>
    </w:p>
    <w:p>
      <w:pPr>
        <w:autoSpaceDE w:val="0"/>
        <w:autoSpaceDN w:val="0"/>
        <w:adjustRightInd w:val="0"/>
        <w:snapToGrid w:val="0"/>
        <w:spacing w:line="360" w:lineRule="auto"/>
        <w:ind w:firstLine="480" w:firstLineChars="200"/>
        <w:rPr>
          <w:sz w:val="24"/>
        </w:rPr>
      </w:pPr>
      <w:r>
        <w:rPr>
          <w:sz w:val="24"/>
        </w:rPr>
        <w:t>（1）针对项目需设置的临时弃土场，应符合以下环境管理要求：</w:t>
      </w:r>
    </w:p>
    <w:p>
      <w:pPr>
        <w:autoSpaceDE w:val="0"/>
        <w:autoSpaceDN w:val="0"/>
        <w:adjustRightInd w:val="0"/>
        <w:snapToGrid w:val="0"/>
        <w:spacing w:line="360" w:lineRule="auto"/>
        <w:ind w:firstLine="480" w:firstLineChars="200"/>
        <w:rPr>
          <w:sz w:val="24"/>
        </w:rPr>
      </w:pPr>
      <w:r>
        <w:rPr>
          <w:rFonts w:hint="eastAsia" w:ascii="宋体" w:hAnsi="宋体" w:cs="宋体"/>
          <w:sz w:val="24"/>
        </w:rPr>
        <w:t>①</w:t>
      </w:r>
      <w:r>
        <w:rPr>
          <w:sz w:val="24"/>
        </w:rPr>
        <w:t>临时弃土场的选择要按照施工弃方量、弃方类型，以及施工路线的平面布置合理选择，弃土场不易发生大面积滑坡等，弃土土表易于复耕或植草处理；</w:t>
      </w:r>
    </w:p>
    <w:p>
      <w:pPr>
        <w:autoSpaceDE w:val="0"/>
        <w:autoSpaceDN w:val="0"/>
        <w:adjustRightInd w:val="0"/>
        <w:snapToGrid w:val="0"/>
        <w:spacing w:line="360" w:lineRule="auto"/>
        <w:ind w:firstLine="480" w:firstLineChars="200"/>
        <w:rPr>
          <w:sz w:val="24"/>
        </w:rPr>
      </w:pPr>
      <w:r>
        <w:rPr>
          <w:rFonts w:hint="eastAsia" w:ascii="宋体" w:hAnsi="宋体" w:cs="宋体"/>
          <w:sz w:val="24"/>
        </w:rPr>
        <w:t>②</w:t>
      </w:r>
      <w:r>
        <w:rPr>
          <w:sz w:val="24"/>
        </w:rPr>
        <w:t>施工作业前，将弃土场地表土清理到用地边界，待填土完毕后，覆盖地表用于耕植；</w:t>
      </w:r>
    </w:p>
    <w:p>
      <w:pPr>
        <w:autoSpaceDE w:val="0"/>
        <w:autoSpaceDN w:val="0"/>
        <w:adjustRightInd w:val="0"/>
        <w:snapToGrid w:val="0"/>
        <w:spacing w:line="360" w:lineRule="auto"/>
        <w:ind w:firstLine="480" w:firstLineChars="200"/>
        <w:rPr>
          <w:sz w:val="24"/>
        </w:rPr>
      </w:pPr>
      <w:r>
        <w:rPr>
          <w:rFonts w:hint="eastAsia" w:ascii="宋体" w:hAnsi="宋体" w:cs="宋体"/>
          <w:sz w:val="24"/>
        </w:rPr>
        <w:t>③</w:t>
      </w:r>
      <w:r>
        <w:rPr>
          <w:sz w:val="24"/>
        </w:rPr>
        <w:t>弃土运至临时弃土场后，分层摊铺、碾压，以防止出现沉陷、坍塌、滑坡等危害，碾压密实度不小于80%。摊铺时，按照内高外低摊铺、碾压，同时设置临时排水沟，防止填土场地内积水；</w:t>
      </w:r>
    </w:p>
    <w:p>
      <w:pPr>
        <w:autoSpaceDE w:val="0"/>
        <w:autoSpaceDN w:val="0"/>
        <w:adjustRightInd w:val="0"/>
        <w:snapToGrid w:val="0"/>
        <w:spacing w:line="360" w:lineRule="auto"/>
        <w:ind w:firstLine="480" w:firstLineChars="200"/>
        <w:rPr>
          <w:sz w:val="24"/>
        </w:rPr>
      </w:pPr>
      <w:r>
        <w:rPr>
          <w:rFonts w:hint="eastAsia" w:ascii="宋体" w:hAnsi="宋体" w:cs="宋体"/>
          <w:sz w:val="24"/>
        </w:rPr>
        <w:t>④</w:t>
      </w:r>
      <w:r>
        <w:rPr>
          <w:sz w:val="24"/>
        </w:rPr>
        <w:t>运输车辆按照管理人员要求在指定位置进行弃土，严禁随意倾倒；施工时，定期对施工便道进行洒水降尘，防治施工扬尘对地表植被的不利影响。运输易产生扬尘的土石方，运输车辆应装料适中，并采用篷布覆盖。</w:t>
      </w:r>
    </w:p>
    <w:p>
      <w:pPr>
        <w:autoSpaceDE w:val="0"/>
        <w:autoSpaceDN w:val="0"/>
        <w:adjustRightInd w:val="0"/>
        <w:snapToGrid w:val="0"/>
        <w:spacing w:line="360" w:lineRule="auto"/>
        <w:ind w:firstLine="480" w:firstLineChars="200"/>
        <w:rPr>
          <w:sz w:val="24"/>
        </w:rPr>
      </w:pPr>
      <w:r>
        <w:rPr>
          <w:rFonts w:hint="eastAsia" w:ascii="宋体" w:hAnsi="宋体" w:cs="宋体"/>
          <w:sz w:val="24"/>
        </w:rPr>
        <w:t>⑤</w:t>
      </w:r>
      <w:r>
        <w:rPr>
          <w:sz w:val="24"/>
        </w:rPr>
        <w:t>回填与回用的土石方施工应严格按照施工环境管理要求执行。</w:t>
      </w:r>
    </w:p>
    <w:p>
      <w:pPr>
        <w:autoSpaceDE w:val="0"/>
        <w:autoSpaceDN w:val="0"/>
        <w:adjustRightInd w:val="0"/>
        <w:snapToGrid w:val="0"/>
        <w:spacing w:line="360" w:lineRule="auto"/>
        <w:ind w:firstLine="480" w:firstLineChars="200"/>
        <w:rPr>
          <w:sz w:val="24"/>
        </w:rPr>
      </w:pPr>
      <w:r>
        <w:rPr>
          <w:sz w:val="24"/>
        </w:rPr>
        <w:t>（2）雨季施工时，应备有工程工布覆盖，防止汛期造成水土大量流失，平时尽量保持表面平整，减少雨水冲刷；</w:t>
      </w:r>
    </w:p>
    <w:p>
      <w:pPr>
        <w:autoSpaceDE w:val="0"/>
        <w:autoSpaceDN w:val="0"/>
        <w:adjustRightInd w:val="0"/>
        <w:snapToGrid w:val="0"/>
        <w:spacing w:line="360" w:lineRule="auto"/>
        <w:ind w:firstLine="480" w:firstLineChars="200"/>
        <w:rPr>
          <w:sz w:val="24"/>
        </w:rPr>
      </w:pPr>
      <w:r>
        <w:rPr>
          <w:sz w:val="24"/>
        </w:rPr>
        <w:t>（3）保持排水系统畅通；</w:t>
      </w:r>
    </w:p>
    <w:p>
      <w:pPr>
        <w:autoSpaceDE w:val="0"/>
        <w:autoSpaceDN w:val="0"/>
        <w:adjustRightInd w:val="0"/>
        <w:snapToGrid w:val="0"/>
        <w:spacing w:line="360" w:lineRule="auto"/>
        <w:ind w:firstLine="480" w:firstLineChars="200"/>
        <w:rPr>
          <w:sz w:val="24"/>
        </w:rPr>
      </w:pPr>
      <w:r>
        <w:rPr>
          <w:sz w:val="24"/>
        </w:rPr>
        <w:t>（4）本项目本身有较多的绿化设施，项目完成后要对水土保持措施及绿化设施进行经常性的维护保养。</w:t>
      </w:r>
    </w:p>
    <w:p>
      <w:pPr>
        <w:autoSpaceDE w:val="0"/>
        <w:autoSpaceDN w:val="0"/>
        <w:adjustRightInd w:val="0"/>
        <w:snapToGrid w:val="0"/>
        <w:spacing w:line="360" w:lineRule="auto"/>
        <w:ind w:firstLine="480" w:firstLineChars="200"/>
        <w:rPr>
          <w:sz w:val="24"/>
        </w:rPr>
      </w:pPr>
      <w:r>
        <w:rPr>
          <w:sz w:val="24"/>
        </w:rPr>
        <w:t>综合采取合理的施工手段和科学的管理措施，可以减少本项目的生态影响。</w:t>
      </w:r>
    </w:p>
    <w:p>
      <w:pPr>
        <w:pStyle w:val="3"/>
        <w:tabs>
          <w:tab w:val="left" w:pos="360"/>
          <w:tab w:val="left" w:pos="840"/>
        </w:tabs>
        <w:spacing w:before="0" w:after="0" w:line="360" w:lineRule="auto"/>
        <w:rPr>
          <w:rFonts w:ascii="Times New Roman" w:hAnsi="Times New Roman" w:eastAsia="宋体"/>
          <w:b/>
          <w:sz w:val="28"/>
          <w:szCs w:val="28"/>
        </w:rPr>
      </w:pPr>
      <w:bookmarkStart w:id="117" w:name="_Toc433723071"/>
      <w:bookmarkStart w:id="118" w:name="_Toc435690413"/>
      <w:r>
        <w:rPr>
          <w:rFonts w:hint="eastAsia" w:ascii="Times New Roman" w:hAnsi="Times New Roman" w:eastAsia="宋体"/>
          <w:b/>
          <w:sz w:val="28"/>
          <w:szCs w:val="28"/>
        </w:rPr>
        <w:t>2.6</w:t>
      </w:r>
      <w:r>
        <w:rPr>
          <w:rFonts w:ascii="Times New Roman" w:hAnsi="Times New Roman" w:eastAsia="宋体"/>
          <w:b/>
          <w:sz w:val="28"/>
          <w:szCs w:val="28"/>
        </w:rPr>
        <w:t>运营期</w:t>
      </w:r>
      <w:r>
        <w:rPr>
          <w:rFonts w:hint="eastAsia" w:ascii="Times New Roman" w:hAnsi="Times New Roman" w:eastAsia="宋体"/>
          <w:b/>
          <w:sz w:val="28"/>
          <w:szCs w:val="28"/>
        </w:rPr>
        <w:t>环境影响</w:t>
      </w:r>
      <w:r>
        <w:rPr>
          <w:rFonts w:ascii="Times New Roman" w:hAnsi="Times New Roman" w:eastAsia="宋体"/>
          <w:b/>
          <w:sz w:val="28"/>
          <w:szCs w:val="28"/>
        </w:rPr>
        <w:t>分析</w:t>
      </w:r>
      <w:bookmarkEnd w:id="117"/>
      <w:bookmarkEnd w:id="118"/>
    </w:p>
    <w:p>
      <w:pPr>
        <w:adjustRightInd w:val="0"/>
        <w:snapToGrid w:val="0"/>
        <w:spacing w:line="360" w:lineRule="auto"/>
        <w:ind w:firstLine="480" w:firstLineChars="200"/>
        <w:rPr>
          <w:sz w:val="24"/>
        </w:rPr>
      </w:pPr>
      <w:r>
        <w:rPr>
          <w:sz w:val="24"/>
        </w:rPr>
        <w:t>根据建设项目特点、建设内容及规模，确定项目营运期污染源，并根据</w:t>
      </w:r>
      <w:r>
        <w:rPr>
          <w:rFonts w:hint="eastAsia"/>
          <w:sz w:val="24"/>
        </w:rPr>
        <w:t>建设单位</w:t>
      </w:r>
      <w:r>
        <w:rPr>
          <w:sz w:val="24"/>
        </w:rPr>
        <w:t>拟采取的环保措施对各环境污染物发生、排放情况的预测、计算和汇总。</w:t>
      </w:r>
    </w:p>
    <w:p>
      <w:pPr>
        <w:pStyle w:val="4"/>
        <w:adjustRightInd w:val="0"/>
        <w:snapToGrid w:val="0"/>
        <w:spacing w:before="0" w:after="0" w:line="360" w:lineRule="auto"/>
        <w:rPr>
          <w:bCs w:val="0"/>
          <w:sz w:val="24"/>
          <w:szCs w:val="24"/>
        </w:rPr>
      </w:pPr>
      <w:bookmarkStart w:id="119" w:name="_Toc435690414"/>
      <w:r>
        <w:rPr>
          <w:rFonts w:hint="eastAsia"/>
          <w:bCs w:val="0"/>
          <w:sz w:val="24"/>
          <w:szCs w:val="24"/>
        </w:rPr>
        <w:t>2.6.1营运期</w:t>
      </w:r>
      <w:r>
        <w:rPr>
          <w:bCs w:val="0"/>
          <w:sz w:val="24"/>
          <w:szCs w:val="24"/>
        </w:rPr>
        <w:t>水</w:t>
      </w:r>
      <w:r>
        <w:rPr>
          <w:rFonts w:hint="eastAsia"/>
          <w:bCs w:val="0"/>
          <w:sz w:val="24"/>
          <w:szCs w:val="24"/>
        </w:rPr>
        <w:t>环境影响分析</w:t>
      </w:r>
      <w:bookmarkEnd w:id="119"/>
    </w:p>
    <w:p>
      <w:pPr>
        <w:pStyle w:val="166"/>
        <w:adjustRightInd w:val="0"/>
        <w:snapToGrid w:val="0"/>
        <w:spacing w:line="360" w:lineRule="auto"/>
        <w:ind w:firstLine="480" w:firstLineChars="200"/>
        <w:rPr>
          <w:rFonts w:ascii="Times New Roman"/>
        </w:rPr>
      </w:pPr>
      <w:r>
        <w:rPr>
          <w:rFonts w:ascii="Times New Roman"/>
        </w:rPr>
        <w:t>根据本建设项目的特点及业主提供的资料，项目建成后污水主要为生活废水，水质简单易降解，</w:t>
      </w:r>
      <w:r>
        <w:rPr>
          <w:rFonts w:hint="eastAsia" w:ascii="Times New Roman"/>
        </w:rPr>
        <w:t>生活污水</w:t>
      </w:r>
      <w:r>
        <w:rPr>
          <w:rFonts w:ascii="Times New Roman"/>
        </w:rPr>
        <w:t>经化粪池预处理后达到《污水排入城市下水道水质标准》（CJ 343-2010）中B等级标准接入市政污水管网</w:t>
      </w:r>
      <w:r>
        <w:rPr>
          <w:rFonts w:hint="eastAsia" w:ascii="Times New Roman"/>
        </w:rPr>
        <w:t>，</w:t>
      </w:r>
      <w:r>
        <w:rPr>
          <w:rFonts w:ascii="Times New Roman"/>
        </w:rPr>
        <w:t>本项目废水接管城南污水处理厂处理。</w:t>
      </w:r>
    </w:p>
    <w:p>
      <w:pPr>
        <w:pStyle w:val="166"/>
        <w:adjustRightInd w:val="0"/>
        <w:snapToGrid w:val="0"/>
        <w:spacing w:line="360" w:lineRule="auto"/>
        <w:ind w:firstLine="480" w:firstLineChars="200"/>
        <w:rPr>
          <w:rFonts w:ascii="Times New Roman"/>
        </w:rPr>
      </w:pPr>
      <w:r>
        <w:rPr>
          <w:rFonts w:ascii="Times New Roman"/>
        </w:rPr>
        <w:t>根据3.</w:t>
      </w:r>
      <w:r>
        <w:rPr>
          <w:rFonts w:hint="eastAsia" w:ascii="Times New Roman"/>
        </w:rPr>
        <w:t>3水平衡</w:t>
      </w:r>
      <w:r>
        <w:rPr>
          <w:rFonts w:ascii="Times New Roman"/>
        </w:rPr>
        <w:t>章节的分析：建设项目污水排放总量为</w:t>
      </w:r>
      <w:r>
        <w:rPr>
          <w:rFonts w:hint="eastAsia" w:ascii="Times New Roman"/>
        </w:rPr>
        <w:t>26816</w:t>
      </w:r>
      <w:r>
        <w:rPr>
          <w:rFonts w:ascii="Times New Roman"/>
        </w:rPr>
        <w:t xml:space="preserve"> m</w:t>
      </w:r>
      <w:r>
        <w:rPr>
          <w:rFonts w:ascii="Times New Roman"/>
          <w:vertAlign w:val="superscript"/>
        </w:rPr>
        <w:t>3</w:t>
      </w:r>
      <w:r>
        <w:rPr>
          <w:rFonts w:ascii="Times New Roman"/>
        </w:rPr>
        <w:t>/a。根据同类项目类比，结合本项目废水类型并经测算，建设项目水污染物产生及排放情况见表</w:t>
      </w:r>
      <w:r>
        <w:rPr>
          <w:rFonts w:hint="eastAsia" w:ascii="Times New Roman"/>
        </w:rPr>
        <w:t>2</w:t>
      </w:r>
      <w:r>
        <w:rPr>
          <w:rFonts w:ascii="Times New Roman"/>
        </w:rPr>
        <w:t>.</w:t>
      </w:r>
      <w:r>
        <w:rPr>
          <w:rFonts w:hint="eastAsia" w:ascii="Times New Roman"/>
        </w:rPr>
        <w:t>6</w:t>
      </w:r>
      <w:r>
        <w:rPr>
          <w:rFonts w:ascii="Times New Roman"/>
        </w:rPr>
        <w:t>-1。</w:t>
      </w:r>
    </w:p>
    <w:p>
      <w:pPr>
        <w:adjustRightInd w:val="0"/>
        <w:snapToGrid w:val="0"/>
        <w:jc w:val="center"/>
        <w:rPr>
          <w:rFonts w:hint="eastAsia"/>
          <w:b/>
        </w:rPr>
      </w:pPr>
      <w:r>
        <w:rPr>
          <w:b/>
        </w:rPr>
        <w:t>表</w:t>
      </w:r>
      <w:r>
        <w:rPr>
          <w:rFonts w:hint="eastAsia"/>
          <w:b/>
        </w:rPr>
        <w:t>2</w:t>
      </w:r>
      <w:r>
        <w:rPr>
          <w:b/>
        </w:rPr>
        <w:t>.</w:t>
      </w:r>
      <w:r>
        <w:rPr>
          <w:rFonts w:hint="eastAsia"/>
          <w:b/>
        </w:rPr>
        <w:t>6</w:t>
      </w:r>
      <w:r>
        <w:rPr>
          <w:b/>
        </w:rPr>
        <w:t>-1  本项目水污染物产生及排放情况</w:t>
      </w:r>
    </w:p>
    <w:tbl>
      <w:tblPr>
        <w:tblStyle w:val="59"/>
        <w:tblW w:w="85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741"/>
        <w:gridCol w:w="660"/>
        <w:gridCol w:w="671"/>
        <w:gridCol w:w="663"/>
        <w:gridCol w:w="809"/>
        <w:gridCol w:w="741"/>
        <w:gridCol w:w="660"/>
        <w:gridCol w:w="671"/>
        <w:gridCol w:w="584"/>
        <w:gridCol w:w="671"/>
        <w:gridCol w:w="12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 w:type="dxa"/>
            <w:vMerge w:val="restart"/>
            <w:shd w:val="clear" w:color="auto" w:fill="auto"/>
            <w:vAlign w:val="center"/>
          </w:tcPr>
          <w:p>
            <w:pPr>
              <w:snapToGrid w:val="0"/>
              <w:jc w:val="center"/>
              <w:rPr>
                <w:szCs w:val="21"/>
              </w:rPr>
            </w:pPr>
            <w:r>
              <w:rPr>
                <w:szCs w:val="21"/>
              </w:rPr>
              <w:t>废水来源</w:t>
            </w:r>
          </w:p>
        </w:tc>
        <w:tc>
          <w:tcPr>
            <w:tcW w:w="741" w:type="dxa"/>
            <w:vMerge w:val="restart"/>
            <w:shd w:val="clear" w:color="auto" w:fill="auto"/>
            <w:vAlign w:val="center"/>
          </w:tcPr>
          <w:p>
            <w:pPr>
              <w:snapToGrid w:val="0"/>
              <w:jc w:val="center"/>
              <w:rPr>
                <w:szCs w:val="21"/>
              </w:rPr>
            </w:pPr>
            <w:r>
              <w:rPr>
                <w:szCs w:val="21"/>
              </w:rPr>
              <w:t>废水量</w:t>
            </w:r>
          </w:p>
          <w:p>
            <w:pPr>
              <w:snapToGrid w:val="0"/>
              <w:jc w:val="center"/>
              <w:rPr>
                <w:szCs w:val="21"/>
              </w:rPr>
            </w:pPr>
            <w:r>
              <w:rPr>
                <w:szCs w:val="21"/>
              </w:rPr>
              <w:t>m</w:t>
            </w:r>
            <w:r>
              <w:rPr>
                <w:szCs w:val="21"/>
                <w:vertAlign w:val="superscript"/>
              </w:rPr>
              <w:t>3</w:t>
            </w:r>
            <w:r>
              <w:rPr>
                <w:szCs w:val="21"/>
              </w:rPr>
              <w:t>/a</w:t>
            </w:r>
          </w:p>
        </w:tc>
        <w:tc>
          <w:tcPr>
            <w:tcW w:w="1994" w:type="dxa"/>
            <w:gridSpan w:val="3"/>
            <w:shd w:val="clear" w:color="auto" w:fill="auto"/>
            <w:vAlign w:val="center"/>
          </w:tcPr>
          <w:p>
            <w:pPr>
              <w:snapToGrid w:val="0"/>
              <w:jc w:val="center"/>
              <w:rPr>
                <w:szCs w:val="21"/>
              </w:rPr>
            </w:pPr>
            <w:r>
              <w:rPr>
                <w:szCs w:val="21"/>
              </w:rPr>
              <w:t>污染物产生量</w:t>
            </w:r>
          </w:p>
        </w:tc>
        <w:tc>
          <w:tcPr>
            <w:tcW w:w="809" w:type="dxa"/>
            <w:vMerge w:val="restart"/>
            <w:shd w:val="clear" w:color="auto" w:fill="auto"/>
            <w:vAlign w:val="center"/>
          </w:tcPr>
          <w:p>
            <w:pPr>
              <w:snapToGrid w:val="0"/>
              <w:jc w:val="center"/>
              <w:rPr>
                <w:szCs w:val="21"/>
              </w:rPr>
            </w:pPr>
            <w:r>
              <w:rPr>
                <w:szCs w:val="21"/>
              </w:rPr>
              <w:t>治理措施</w:t>
            </w:r>
          </w:p>
        </w:tc>
        <w:tc>
          <w:tcPr>
            <w:tcW w:w="741" w:type="dxa"/>
            <w:vMerge w:val="restart"/>
            <w:shd w:val="clear" w:color="auto" w:fill="auto"/>
            <w:vAlign w:val="center"/>
          </w:tcPr>
          <w:p>
            <w:pPr>
              <w:snapToGrid w:val="0"/>
              <w:jc w:val="center"/>
              <w:rPr>
                <w:szCs w:val="21"/>
              </w:rPr>
            </w:pPr>
            <w:r>
              <w:rPr>
                <w:szCs w:val="21"/>
              </w:rPr>
              <w:t>接管</w:t>
            </w:r>
          </w:p>
          <w:p>
            <w:pPr>
              <w:snapToGrid w:val="0"/>
              <w:jc w:val="center"/>
              <w:rPr>
                <w:szCs w:val="21"/>
              </w:rPr>
            </w:pPr>
            <w:r>
              <w:rPr>
                <w:szCs w:val="21"/>
              </w:rPr>
              <w:t>废水量</w:t>
            </w:r>
          </w:p>
          <w:p>
            <w:pPr>
              <w:snapToGrid w:val="0"/>
              <w:jc w:val="center"/>
              <w:rPr>
                <w:szCs w:val="21"/>
              </w:rPr>
            </w:pPr>
            <w:r>
              <w:rPr>
                <w:szCs w:val="21"/>
              </w:rPr>
              <w:t>m</w:t>
            </w:r>
            <w:r>
              <w:rPr>
                <w:szCs w:val="21"/>
                <w:vertAlign w:val="superscript"/>
              </w:rPr>
              <w:t>3</w:t>
            </w:r>
            <w:r>
              <w:rPr>
                <w:szCs w:val="21"/>
              </w:rPr>
              <w:t>/a</w:t>
            </w:r>
          </w:p>
        </w:tc>
        <w:tc>
          <w:tcPr>
            <w:tcW w:w="1915" w:type="dxa"/>
            <w:gridSpan w:val="3"/>
            <w:shd w:val="clear" w:color="auto" w:fill="auto"/>
            <w:vAlign w:val="center"/>
          </w:tcPr>
          <w:p>
            <w:pPr>
              <w:snapToGrid w:val="0"/>
              <w:jc w:val="center"/>
              <w:rPr>
                <w:szCs w:val="21"/>
              </w:rPr>
            </w:pPr>
            <w:r>
              <w:rPr>
                <w:szCs w:val="21"/>
              </w:rPr>
              <w:t>污染物排放量</w:t>
            </w:r>
          </w:p>
        </w:tc>
        <w:tc>
          <w:tcPr>
            <w:tcW w:w="671" w:type="dxa"/>
            <w:vMerge w:val="restart"/>
            <w:shd w:val="clear" w:color="auto" w:fill="auto"/>
            <w:vAlign w:val="center"/>
          </w:tcPr>
          <w:p>
            <w:pPr>
              <w:snapToGrid w:val="0"/>
              <w:jc w:val="center"/>
              <w:rPr>
                <w:szCs w:val="21"/>
              </w:rPr>
            </w:pPr>
            <w:r>
              <w:rPr>
                <w:szCs w:val="21"/>
              </w:rPr>
              <w:t>接管浓度限值</w:t>
            </w:r>
          </w:p>
          <w:p>
            <w:pPr>
              <w:snapToGrid w:val="0"/>
              <w:jc w:val="center"/>
              <w:rPr>
                <w:szCs w:val="21"/>
              </w:rPr>
            </w:pPr>
            <w:r>
              <w:rPr>
                <w:szCs w:val="21"/>
              </w:rPr>
              <w:t>mg/L</w:t>
            </w:r>
          </w:p>
        </w:tc>
        <w:tc>
          <w:tcPr>
            <w:tcW w:w="1231" w:type="dxa"/>
            <w:vMerge w:val="restart"/>
            <w:shd w:val="clear" w:color="auto" w:fill="auto"/>
            <w:vAlign w:val="center"/>
          </w:tcPr>
          <w:p>
            <w:pPr>
              <w:snapToGrid w:val="0"/>
              <w:jc w:val="center"/>
              <w:rPr>
                <w:szCs w:val="21"/>
              </w:rPr>
            </w:pPr>
            <w:r>
              <w:rPr>
                <w:szCs w:val="21"/>
              </w:rPr>
              <w:t>外排去向</w:t>
            </w:r>
          </w:p>
        </w:tc>
      </w:tr>
      <w:tr>
        <w:tblPrEx>
          <w:tblLayout w:type="fixed"/>
          <w:tblCellMar>
            <w:top w:w="0" w:type="dxa"/>
            <w:left w:w="108" w:type="dxa"/>
            <w:bottom w:w="0" w:type="dxa"/>
            <w:right w:w="108" w:type="dxa"/>
          </w:tblCellMar>
        </w:tblPrEx>
        <w:tc>
          <w:tcPr>
            <w:tcW w:w="426" w:type="dxa"/>
            <w:vMerge w:val="continue"/>
            <w:shd w:val="clear" w:color="auto" w:fill="auto"/>
            <w:vAlign w:val="center"/>
          </w:tcPr>
          <w:p>
            <w:pPr>
              <w:snapToGrid w:val="0"/>
              <w:jc w:val="center"/>
              <w:rPr>
                <w:szCs w:val="21"/>
              </w:rPr>
            </w:pPr>
          </w:p>
        </w:tc>
        <w:tc>
          <w:tcPr>
            <w:tcW w:w="741" w:type="dxa"/>
            <w:vMerge w:val="continue"/>
            <w:shd w:val="clear" w:color="auto" w:fill="auto"/>
            <w:vAlign w:val="center"/>
          </w:tcPr>
          <w:p>
            <w:pPr>
              <w:snapToGrid w:val="0"/>
              <w:jc w:val="center"/>
              <w:rPr>
                <w:szCs w:val="21"/>
              </w:rPr>
            </w:pPr>
          </w:p>
        </w:tc>
        <w:tc>
          <w:tcPr>
            <w:tcW w:w="660" w:type="dxa"/>
            <w:shd w:val="clear" w:color="auto" w:fill="auto"/>
            <w:vAlign w:val="center"/>
          </w:tcPr>
          <w:p>
            <w:pPr>
              <w:snapToGrid w:val="0"/>
              <w:jc w:val="center"/>
              <w:rPr>
                <w:szCs w:val="21"/>
              </w:rPr>
            </w:pPr>
            <w:r>
              <w:rPr>
                <w:szCs w:val="21"/>
              </w:rPr>
              <w:t>污染物</w:t>
            </w:r>
          </w:p>
          <w:p>
            <w:pPr>
              <w:snapToGrid w:val="0"/>
              <w:jc w:val="center"/>
              <w:rPr>
                <w:szCs w:val="21"/>
              </w:rPr>
            </w:pPr>
            <w:r>
              <w:rPr>
                <w:szCs w:val="21"/>
              </w:rPr>
              <w:t>名称</w:t>
            </w:r>
          </w:p>
        </w:tc>
        <w:tc>
          <w:tcPr>
            <w:tcW w:w="671" w:type="dxa"/>
            <w:shd w:val="clear" w:color="auto" w:fill="auto"/>
            <w:vAlign w:val="center"/>
          </w:tcPr>
          <w:p>
            <w:pPr>
              <w:snapToGrid w:val="0"/>
              <w:jc w:val="center"/>
              <w:rPr>
                <w:szCs w:val="21"/>
              </w:rPr>
            </w:pPr>
            <w:r>
              <w:rPr>
                <w:szCs w:val="21"/>
              </w:rPr>
              <w:t>浓度</w:t>
            </w:r>
          </w:p>
          <w:p>
            <w:pPr>
              <w:snapToGrid w:val="0"/>
              <w:jc w:val="center"/>
              <w:rPr>
                <w:szCs w:val="21"/>
              </w:rPr>
            </w:pPr>
            <w:r>
              <w:rPr>
                <w:szCs w:val="21"/>
              </w:rPr>
              <w:t>mg/L</w:t>
            </w:r>
          </w:p>
        </w:tc>
        <w:tc>
          <w:tcPr>
            <w:tcW w:w="663" w:type="dxa"/>
            <w:shd w:val="clear" w:color="auto" w:fill="auto"/>
            <w:vAlign w:val="center"/>
          </w:tcPr>
          <w:p>
            <w:pPr>
              <w:snapToGrid w:val="0"/>
              <w:jc w:val="center"/>
              <w:rPr>
                <w:szCs w:val="21"/>
              </w:rPr>
            </w:pPr>
            <w:r>
              <w:rPr>
                <w:szCs w:val="21"/>
              </w:rPr>
              <w:t>产生量</w:t>
            </w:r>
          </w:p>
          <w:p>
            <w:pPr>
              <w:snapToGrid w:val="0"/>
              <w:jc w:val="center"/>
              <w:rPr>
                <w:szCs w:val="21"/>
              </w:rPr>
            </w:pPr>
            <w:r>
              <w:rPr>
                <w:szCs w:val="21"/>
              </w:rPr>
              <w:t>t/a</w:t>
            </w:r>
          </w:p>
        </w:tc>
        <w:tc>
          <w:tcPr>
            <w:tcW w:w="809" w:type="dxa"/>
            <w:vMerge w:val="continue"/>
            <w:shd w:val="clear" w:color="auto" w:fill="auto"/>
            <w:vAlign w:val="center"/>
          </w:tcPr>
          <w:p>
            <w:pPr>
              <w:snapToGrid w:val="0"/>
              <w:jc w:val="center"/>
              <w:rPr>
                <w:szCs w:val="21"/>
              </w:rPr>
            </w:pPr>
          </w:p>
        </w:tc>
        <w:tc>
          <w:tcPr>
            <w:tcW w:w="741" w:type="dxa"/>
            <w:vMerge w:val="continue"/>
            <w:shd w:val="clear" w:color="auto" w:fill="auto"/>
            <w:vAlign w:val="center"/>
          </w:tcPr>
          <w:p>
            <w:pPr>
              <w:snapToGrid w:val="0"/>
              <w:jc w:val="center"/>
              <w:rPr>
                <w:szCs w:val="21"/>
              </w:rPr>
            </w:pPr>
          </w:p>
        </w:tc>
        <w:tc>
          <w:tcPr>
            <w:tcW w:w="660" w:type="dxa"/>
            <w:shd w:val="clear" w:color="auto" w:fill="auto"/>
            <w:vAlign w:val="center"/>
          </w:tcPr>
          <w:p>
            <w:pPr>
              <w:snapToGrid w:val="0"/>
              <w:jc w:val="center"/>
              <w:rPr>
                <w:szCs w:val="21"/>
              </w:rPr>
            </w:pPr>
            <w:r>
              <w:rPr>
                <w:szCs w:val="21"/>
              </w:rPr>
              <w:t>污染物</w:t>
            </w:r>
          </w:p>
          <w:p>
            <w:pPr>
              <w:snapToGrid w:val="0"/>
              <w:jc w:val="center"/>
              <w:rPr>
                <w:szCs w:val="21"/>
              </w:rPr>
            </w:pPr>
            <w:r>
              <w:rPr>
                <w:szCs w:val="21"/>
              </w:rPr>
              <w:t>名称</w:t>
            </w:r>
          </w:p>
        </w:tc>
        <w:tc>
          <w:tcPr>
            <w:tcW w:w="671" w:type="dxa"/>
            <w:shd w:val="clear" w:color="auto" w:fill="auto"/>
            <w:vAlign w:val="center"/>
          </w:tcPr>
          <w:p>
            <w:pPr>
              <w:snapToGrid w:val="0"/>
              <w:jc w:val="center"/>
              <w:rPr>
                <w:szCs w:val="21"/>
              </w:rPr>
            </w:pPr>
            <w:r>
              <w:rPr>
                <w:szCs w:val="21"/>
              </w:rPr>
              <w:t>浓度</w:t>
            </w:r>
          </w:p>
          <w:p>
            <w:pPr>
              <w:snapToGrid w:val="0"/>
              <w:jc w:val="center"/>
              <w:rPr>
                <w:szCs w:val="21"/>
              </w:rPr>
            </w:pPr>
            <w:r>
              <w:rPr>
                <w:szCs w:val="21"/>
              </w:rPr>
              <w:t>mg/L</w:t>
            </w:r>
          </w:p>
        </w:tc>
        <w:tc>
          <w:tcPr>
            <w:tcW w:w="584" w:type="dxa"/>
            <w:shd w:val="clear" w:color="auto" w:fill="auto"/>
            <w:vAlign w:val="center"/>
          </w:tcPr>
          <w:p>
            <w:pPr>
              <w:snapToGrid w:val="0"/>
              <w:jc w:val="center"/>
              <w:rPr>
                <w:szCs w:val="21"/>
              </w:rPr>
            </w:pPr>
            <w:r>
              <w:rPr>
                <w:szCs w:val="21"/>
              </w:rPr>
              <w:t>接管量</w:t>
            </w:r>
          </w:p>
          <w:p>
            <w:pPr>
              <w:snapToGrid w:val="0"/>
              <w:jc w:val="center"/>
              <w:rPr>
                <w:szCs w:val="21"/>
              </w:rPr>
            </w:pPr>
            <w:r>
              <w:rPr>
                <w:szCs w:val="21"/>
              </w:rPr>
              <w:t>t/a</w:t>
            </w:r>
          </w:p>
        </w:tc>
        <w:tc>
          <w:tcPr>
            <w:tcW w:w="671" w:type="dxa"/>
            <w:vMerge w:val="continue"/>
            <w:shd w:val="clear" w:color="auto" w:fill="auto"/>
            <w:vAlign w:val="center"/>
          </w:tcPr>
          <w:p>
            <w:pPr>
              <w:snapToGrid w:val="0"/>
              <w:jc w:val="center"/>
              <w:rPr>
                <w:szCs w:val="21"/>
              </w:rPr>
            </w:pPr>
          </w:p>
        </w:tc>
        <w:tc>
          <w:tcPr>
            <w:tcW w:w="1231" w:type="dxa"/>
            <w:vMerge w:val="continue"/>
            <w:shd w:val="clear" w:color="auto" w:fill="auto"/>
            <w:vAlign w:val="center"/>
          </w:tcPr>
          <w:p>
            <w:pPr>
              <w:snapToGrid w:val="0"/>
              <w:jc w:val="center"/>
              <w:rPr>
                <w:szCs w:val="21"/>
              </w:rPr>
            </w:pPr>
          </w:p>
        </w:tc>
      </w:tr>
      <w:tr>
        <w:tblPrEx>
          <w:tblLayout w:type="fixed"/>
          <w:tblCellMar>
            <w:top w:w="0" w:type="dxa"/>
            <w:left w:w="108" w:type="dxa"/>
            <w:bottom w:w="0" w:type="dxa"/>
            <w:right w:w="108" w:type="dxa"/>
          </w:tblCellMar>
        </w:tblPrEx>
        <w:trPr>
          <w:trHeight w:val="696" w:hRule="atLeast"/>
        </w:trPr>
        <w:tc>
          <w:tcPr>
            <w:tcW w:w="426" w:type="dxa"/>
            <w:vMerge w:val="restart"/>
            <w:shd w:val="clear" w:color="auto" w:fill="auto"/>
            <w:vAlign w:val="center"/>
          </w:tcPr>
          <w:p>
            <w:pPr>
              <w:snapToGrid w:val="0"/>
              <w:jc w:val="center"/>
              <w:rPr>
                <w:szCs w:val="21"/>
              </w:rPr>
            </w:pPr>
            <w:bookmarkStart w:id="120" w:name="OLE_LINK12" w:colFirst="4" w:colLast="4"/>
            <w:bookmarkStart w:id="121" w:name="OLE_LINK3" w:colFirst="8" w:colLast="8"/>
            <w:bookmarkStart w:id="122" w:name="_Hlk428467917"/>
            <w:r>
              <w:rPr>
                <w:szCs w:val="21"/>
              </w:rPr>
              <w:t>生活污水</w:t>
            </w:r>
          </w:p>
        </w:tc>
        <w:tc>
          <w:tcPr>
            <w:tcW w:w="741" w:type="dxa"/>
            <w:vMerge w:val="restart"/>
            <w:shd w:val="clear" w:color="auto" w:fill="auto"/>
            <w:vAlign w:val="center"/>
          </w:tcPr>
          <w:p>
            <w:pPr>
              <w:snapToGrid w:val="0"/>
              <w:jc w:val="center"/>
              <w:rPr>
                <w:szCs w:val="21"/>
              </w:rPr>
            </w:pPr>
            <w:r>
              <w:rPr>
                <w:rFonts w:hint="eastAsia"/>
                <w:szCs w:val="21"/>
              </w:rPr>
              <w:t>26816</w:t>
            </w:r>
          </w:p>
        </w:tc>
        <w:tc>
          <w:tcPr>
            <w:tcW w:w="660" w:type="dxa"/>
            <w:shd w:val="clear" w:color="auto" w:fill="auto"/>
            <w:vAlign w:val="center"/>
          </w:tcPr>
          <w:p>
            <w:pPr>
              <w:snapToGrid w:val="0"/>
              <w:jc w:val="center"/>
              <w:rPr>
                <w:szCs w:val="21"/>
              </w:rPr>
            </w:pPr>
            <w:r>
              <w:rPr>
                <w:szCs w:val="21"/>
              </w:rPr>
              <w:t>COD</w:t>
            </w:r>
          </w:p>
        </w:tc>
        <w:tc>
          <w:tcPr>
            <w:tcW w:w="671" w:type="dxa"/>
            <w:shd w:val="clear" w:color="auto" w:fill="auto"/>
            <w:vAlign w:val="center"/>
          </w:tcPr>
          <w:p>
            <w:pPr>
              <w:snapToGrid w:val="0"/>
              <w:jc w:val="center"/>
              <w:rPr>
                <w:szCs w:val="21"/>
              </w:rPr>
            </w:pPr>
            <w:r>
              <w:rPr>
                <w:szCs w:val="21"/>
              </w:rPr>
              <w:t>350</w:t>
            </w:r>
          </w:p>
        </w:tc>
        <w:tc>
          <w:tcPr>
            <w:tcW w:w="663" w:type="dxa"/>
            <w:shd w:val="clear" w:color="auto" w:fill="auto"/>
            <w:vAlign w:val="center"/>
          </w:tcPr>
          <w:p>
            <w:pPr>
              <w:jc w:val="center"/>
              <w:rPr>
                <w:szCs w:val="21"/>
              </w:rPr>
            </w:pPr>
            <w:r>
              <w:rPr>
                <w:rFonts w:hint="eastAsia"/>
                <w:szCs w:val="21"/>
              </w:rPr>
              <w:t>9.39</w:t>
            </w:r>
          </w:p>
        </w:tc>
        <w:tc>
          <w:tcPr>
            <w:tcW w:w="809" w:type="dxa"/>
            <w:vMerge w:val="restart"/>
            <w:shd w:val="clear" w:color="auto" w:fill="auto"/>
            <w:vAlign w:val="center"/>
          </w:tcPr>
          <w:p>
            <w:pPr>
              <w:snapToGrid w:val="0"/>
              <w:jc w:val="center"/>
              <w:rPr>
                <w:szCs w:val="21"/>
              </w:rPr>
            </w:pPr>
            <w:r>
              <w:rPr>
                <w:szCs w:val="21"/>
              </w:rPr>
              <w:t>由化粪池预处理，达标后接管</w:t>
            </w:r>
            <w:r>
              <w:rPr>
                <w:rFonts w:hint="eastAsia"/>
                <w:szCs w:val="21"/>
              </w:rPr>
              <w:t>城南</w:t>
            </w:r>
            <w:r>
              <w:rPr>
                <w:szCs w:val="21"/>
              </w:rPr>
              <w:t>污水处理厂</w:t>
            </w:r>
          </w:p>
        </w:tc>
        <w:tc>
          <w:tcPr>
            <w:tcW w:w="741" w:type="dxa"/>
            <w:vMerge w:val="restart"/>
            <w:shd w:val="clear" w:color="auto" w:fill="auto"/>
            <w:vAlign w:val="center"/>
          </w:tcPr>
          <w:p>
            <w:pPr>
              <w:snapToGrid w:val="0"/>
              <w:jc w:val="center"/>
              <w:rPr>
                <w:szCs w:val="21"/>
              </w:rPr>
            </w:pPr>
            <w:r>
              <w:rPr>
                <w:rFonts w:hint="eastAsia"/>
                <w:szCs w:val="21"/>
              </w:rPr>
              <w:t>26816</w:t>
            </w:r>
          </w:p>
        </w:tc>
        <w:tc>
          <w:tcPr>
            <w:tcW w:w="660" w:type="dxa"/>
            <w:shd w:val="clear" w:color="auto" w:fill="auto"/>
            <w:vAlign w:val="center"/>
          </w:tcPr>
          <w:p>
            <w:pPr>
              <w:snapToGrid w:val="0"/>
              <w:jc w:val="center"/>
              <w:rPr>
                <w:szCs w:val="21"/>
              </w:rPr>
            </w:pPr>
            <w:r>
              <w:rPr>
                <w:szCs w:val="21"/>
              </w:rPr>
              <w:t>COD</w:t>
            </w:r>
          </w:p>
        </w:tc>
        <w:tc>
          <w:tcPr>
            <w:tcW w:w="671" w:type="dxa"/>
            <w:shd w:val="clear" w:color="auto" w:fill="auto"/>
            <w:vAlign w:val="center"/>
          </w:tcPr>
          <w:p>
            <w:pPr>
              <w:snapToGrid w:val="0"/>
              <w:jc w:val="center"/>
              <w:rPr>
                <w:szCs w:val="21"/>
              </w:rPr>
            </w:pPr>
            <w:r>
              <w:rPr>
                <w:szCs w:val="21"/>
              </w:rPr>
              <w:t>300</w:t>
            </w:r>
          </w:p>
        </w:tc>
        <w:tc>
          <w:tcPr>
            <w:tcW w:w="584" w:type="dxa"/>
            <w:shd w:val="clear" w:color="auto" w:fill="auto"/>
            <w:vAlign w:val="center"/>
          </w:tcPr>
          <w:p>
            <w:pPr>
              <w:jc w:val="center"/>
              <w:rPr>
                <w:szCs w:val="21"/>
              </w:rPr>
            </w:pPr>
            <w:r>
              <w:rPr>
                <w:rFonts w:hint="eastAsia"/>
                <w:szCs w:val="21"/>
              </w:rPr>
              <w:t>8.04</w:t>
            </w:r>
          </w:p>
        </w:tc>
        <w:tc>
          <w:tcPr>
            <w:tcW w:w="671" w:type="dxa"/>
            <w:shd w:val="clear" w:color="auto" w:fill="auto"/>
            <w:vAlign w:val="center"/>
          </w:tcPr>
          <w:p>
            <w:pPr>
              <w:snapToGrid w:val="0"/>
              <w:jc w:val="center"/>
              <w:rPr>
                <w:szCs w:val="21"/>
              </w:rPr>
            </w:pPr>
            <w:r>
              <w:rPr>
                <w:szCs w:val="21"/>
              </w:rPr>
              <w:t>≤500</w:t>
            </w:r>
          </w:p>
        </w:tc>
        <w:tc>
          <w:tcPr>
            <w:tcW w:w="1231" w:type="dxa"/>
            <w:vMerge w:val="restart"/>
            <w:shd w:val="clear" w:color="auto" w:fill="auto"/>
            <w:vAlign w:val="center"/>
          </w:tcPr>
          <w:p>
            <w:pPr>
              <w:snapToGrid w:val="0"/>
              <w:jc w:val="center"/>
              <w:rPr>
                <w:szCs w:val="21"/>
              </w:rPr>
            </w:pPr>
            <w:r>
              <w:rPr>
                <w:szCs w:val="21"/>
              </w:rPr>
              <w:t>达</w:t>
            </w:r>
            <w:r>
              <w:rPr>
                <w:rFonts w:hint="eastAsia"/>
                <w:szCs w:val="21"/>
              </w:rPr>
              <w:t>《污水排入城市下水道水质标准》（CJ 343-2010）中B等级</w:t>
            </w:r>
            <w:r>
              <w:rPr>
                <w:szCs w:val="21"/>
              </w:rPr>
              <w:t>标准后</w:t>
            </w:r>
            <w:r>
              <w:rPr>
                <w:rFonts w:hint="eastAsia"/>
                <w:szCs w:val="21"/>
              </w:rPr>
              <w:t>接管城南</w:t>
            </w:r>
            <w:r>
              <w:rPr>
                <w:szCs w:val="21"/>
              </w:rPr>
              <w:t>污水处理厂处理，最终排入</w:t>
            </w:r>
            <w:r>
              <w:rPr>
                <w:rFonts w:hint="eastAsia"/>
                <w:szCs w:val="21"/>
              </w:rPr>
              <w:t>长江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32" w:hRule="atLeast"/>
        </w:trPr>
        <w:tc>
          <w:tcPr>
            <w:tcW w:w="426" w:type="dxa"/>
            <w:vMerge w:val="continue"/>
            <w:shd w:val="clear" w:color="auto" w:fill="auto"/>
            <w:vAlign w:val="center"/>
          </w:tcPr>
          <w:p>
            <w:pPr>
              <w:adjustRightInd w:val="0"/>
              <w:snapToGrid w:val="0"/>
              <w:spacing w:line="320" w:lineRule="exact"/>
              <w:jc w:val="center"/>
              <w:rPr>
                <w:sz w:val="18"/>
                <w:szCs w:val="21"/>
              </w:rPr>
            </w:pPr>
          </w:p>
        </w:tc>
        <w:tc>
          <w:tcPr>
            <w:tcW w:w="741" w:type="dxa"/>
            <w:vMerge w:val="continue"/>
            <w:shd w:val="clear" w:color="auto" w:fill="auto"/>
            <w:vAlign w:val="center"/>
          </w:tcPr>
          <w:p>
            <w:pPr>
              <w:adjustRightInd w:val="0"/>
              <w:snapToGrid w:val="0"/>
              <w:spacing w:line="320" w:lineRule="exact"/>
              <w:jc w:val="center"/>
              <w:rPr>
                <w:sz w:val="18"/>
                <w:szCs w:val="21"/>
              </w:rPr>
            </w:pPr>
          </w:p>
        </w:tc>
        <w:tc>
          <w:tcPr>
            <w:tcW w:w="660" w:type="dxa"/>
            <w:shd w:val="clear" w:color="auto" w:fill="auto"/>
            <w:vAlign w:val="center"/>
          </w:tcPr>
          <w:p>
            <w:pPr>
              <w:snapToGrid w:val="0"/>
              <w:jc w:val="center"/>
              <w:rPr>
                <w:szCs w:val="21"/>
              </w:rPr>
            </w:pPr>
            <w:r>
              <w:rPr>
                <w:szCs w:val="21"/>
              </w:rPr>
              <w:t>SS</w:t>
            </w:r>
          </w:p>
        </w:tc>
        <w:tc>
          <w:tcPr>
            <w:tcW w:w="671" w:type="dxa"/>
            <w:shd w:val="clear" w:color="auto" w:fill="auto"/>
            <w:vAlign w:val="center"/>
          </w:tcPr>
          <w:p>
            <w:pPr>
              <w:snapToGrid w:val="0"/>
              <w:jc w:val="center"/>
              <w:rPr>
                <w:szCs w:val="21"/>
              </w:rPr>
            </w:pPr>
            <w:r>
              <w:rPr>
                <w:szCs w:val="21"/>
              </w:rPr>
              <w:t>250</w:t>
            </w:r>
          </w:p>
        </w:tc>
        <w:tc>
          <w:tcPr>
            <w:tcW w:w="663" w:type="dxa"/>
            <w:shd w:val="clear" w:color="auto" w:fill="auto"/>
            <w:vAlign w:val="center"/>
          </w:tcPr>
          <w:p>
            <w:pPr>
              <w:jc w:val="center"/>
              <w:rPr>
                <w:szCs w:val="21"/>
              </w:rPr>
            </w:pPr>
            <w:r>
              <w:rPr>
                <w:rFonts w:hint="eastAsia"/>
                <w:szCs w:val="21"/>
              </w:rPr>
              <w:t>6.7</w:t>
            </w:r>
          </w:p>
        </w:tc>
        <w:tc>
          <w:tcPr>
            <w:tcW w:w="809" w:type="dxa"/>
            <w:vMerge w:val="continue"/>
            <w:shd w:val="clear" w:color="auto" w:fill="auto"/>
            <w:vAlign w:val="center"/>
          </w:tcPr>
          <w:p>
            <w:pPr>
              <w:snapToGrid w:val="0"/>
              <w:jc w:val="center"/>
              <w:rPr>
                <w:szCs w:val="21"/>
              </w:rPr>
            </w:pPr>
          </w:p>
        </w:tc>
        <w:tc>
          <w:tcPr>
            <w:tcW w:w="741" w:type="dxa"/>
            <w:vMerge w:val="continue"/>
            <w:shd w:val="clear" w:color="auto" w:fill="auto"/>
            <w:vAlign w:val="center"/>
          </w:tcPr>
          <w:p>
            <w:pPr>
              <w:snapToGrid w:val="0"/>
              <w:jc w:val="center"/>
              <w:rPr>
                <w:szCs w:val="21"/>
              </w:rPr>
            </w:pPr>
          </w:p>
        </w:tc>
        <w:tc>
          <w:tcPr>
            <w:tcW w:w="660" w:type="dxa"/>
            <w:shd w:val="clear" w:color="auto" w:fill="auto"/>
            <w:vAlign w:val="center"/>
          </w:tcPr>
          <w:p>
            <w:pPr>
              <w:snapToGrid w:val="0"/>
              <w:jc w:val="center"/>
              <w:rPr>
                <w:szCs w:val="21"/>
              </w:rPr>
            </w:pPr>
            <w:r>
              <w:rPr>
                <w:szCs w:val="21"/>
              </w:rPr>
              <w:t>SS</w:t>
            </w:r>
          </w:p>
        </w:tc>
        <w:tc>
          <w:tcPr>
            <w:tcW w:w="671" w:type="dxa"/>
            <w:shd w:val="clear" w:color="auto" w:fill="auto"/>
            <w:vAlign w:val="center"/>
          </w:tcPr>
          <w:p>
            <w:pPr>
              <w:snapToGrid w:val="0"/>
              <w:jc w:val="center"/>
              <w:rPr>
                <w:szCs w:val="21"/>
              </w:rPr>
            </w:pPr>
            <w:r>
              <w:rPr>
                <w:szCs w:val="21"/>
              </w:rPr>
              <w:t>175</w:t>
            </w:r>
          </w:p>
        </w:tc>
        <w:tc>
          <w:tcPr>
            <w:tcW w:w="584" w:type="dxa"/>
            <w:shd w:val="clear" w:color="auto" w:fill="auto"/>
            <w:vAlign w:val="center"/>
          </w:tcPr>
          <w:p>
            <w:pPr>
              <w:jc w:val="center"/>
              <w:rPr>
                <w:szCs w:val="21"/>
              </w:rPr>
            </w:pPr>
            <w:r>
              <w:rPr>
                <w:rFonts w:hint="eastAsia"/>
                <w:szCs w:val="21"/>
              </w:rPr>
              <w:t>4.69</w:t>
            </w:r>
          </w:p>
        </w:tc>
        <w:tc>
          <w:tcPr>
            <w:tcW w:w="671" w:type="dxa"/>
            <w:shd w:val="clear" w:color="auto" w:fill="auto"/>
            <w:vAlign w:val="center"/>
          </w:tcPr>
          <w:p>
            <w:pPr>
              <w:snapToGrid w:val="0"/>
              <w:jc w:val="center"/>
              <w:rPr>
                <w:szCs w:val="21"/>
              </w:rPr>
            </w:pPr>
            <w:r>
              <w:rPr>
                <w:szCs w:val="21"/>
              </w:rPr>
              <w:t>≤400</w:t>
            </w:r>
          </w:p>
        </w:tc>
        <w:tc>
          <w:tcPr>
            <w:tcW w:w="1231" w:type="dxa"/>
            <w:vMerge w:val="continue"/>
            <w:shd w:val="clear" w:color="auto" w:fill="auto"/>
            <w:vAlign w:val="center"/>
          </w:tcPr>
          <w:p>
            <w:pPr>
              <w:adjustRightInd w:val="0"/>
              <w:snapToGrid w:val="0"/>
              <w:spacing w:line="320" w:lineRule="exact"/>
              <w:jc w:val="center"/>
              <w:rPr>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54" w:hRule="atLeast"/>
        </w:trPr>
        <w:tc>
          <w:tcPr>
            <w:tcW w:w="426" w:type="dxa"/>
            <w:vMerge w:val="continue"/>
            <w:shd w:val="clear" w:color="auto" w:fill="auto"/>
            <w:vAlign w:val="center"/>
          </w:tcPr>
          <w:p>
            <w:pPr>
              <w:adjustRightInd w:val="0"/>
              <w:snapToGrid w:val="0"/>
              <w:spacing w:line="320" w:lineRule="exact"/>
              <w:jc w:val="center"/>
              <w:rPr>
                <w:sz w:val="18"/>
                <w:szCs w:val="21"/>
              </w:rPr>
            </w:pPr>
          </w:p>
        </w:tc>
        <w:tc>
          <w:tcPr>
            <w:tcW w:w="741" w:type="dxa"/>
            <w:vMerge w:val="continue"/>
            <w:shd w:val="clear" w:color="auto" w:fill="auto"/>
            <w:vAlign w:val="center"/>
          </w:tcPr>
          <w:p>
            <w:pPr>
              <w:adjustRightInd w:val="0"/>
              <w:snapToGrid w:val="0"/>
              <w:spacing w:line="320" w:lineRule="exact"/>
              <w:jc w:val="center"/>
              <w:rPr>
                <w:sz w:val="18"/>
                <w:szCs w:val="21"/>
              </w:rPr>
            </w:pPr>
          </w:p>
        </w:tc>
        <w:tc>
          <w:tcPr>
            <w:tcW w:w="660" w:type="dxa"/>
            <w:shd w:val="clear" w:color="auto" w:fill="auto"/>
            <w:vAlign w:val="center"/>
          </w:tcPr>
          <w:p>
            <w:pPr>
              <w:snapToGrid w:val="0"/>
              <w:jc w:val="center"/>
              <w:rPr>
                <w:szCs w:val="21"/>
              </w:rPr>
            </w:pPr>
            <w:r>
              <w:rPr>
                <w:szCs w:val="21"/>
              </w:rPr>
              <w:t>氨氮</w:t>
            </w:r>
          </w:p>
        </w:tc>
        <w:tc>
          <w:tcPr>
            <w:tcW w:w="671" w:type="dxa"/>
            <w:shd w:val="clear" w:color="auto" w:fill="auto"/>
            <w:vAlign w:val="center"/>
          </w:tcPr>
          <w:p>
            <w:pPr>
              <w:snapToGrid w:val="0"/>
              <w:jc w:val="center"/>
              <w:rPr>
                <w:szCs w:val="21"/>
              </w:rPr>
            </w:pPr>
            <w:r>
              <w:rPr>
                <w:szCs w:val="21"/>
              </w:rPr>
              <w:t>30</w:t>
            </w:r>
          </w:p>
        </w:tc>
        <w:tc>
          <w:tcPr>
            <w:tcW w:w="663" w:type="dxa"/>
            <w:shd w:val="clear" w:color="auto" w:fill="auto"/>
            <w:vAlign w:val="center"/>
          </w:tcPr>
          <w:p>
            <w:pPr>
              <w:jc w:val="center"/>
              <w:rPr>
                <w:szCs w:val="21"/>
              </w:rPr>
            </w:pPr>
            <w:r>
              <w:rPr>
                <w:rFonts w:hint="eastAsia"/>
                <w:szCs w:val="21"/>
              </w:rPr>
              <w:t>0.80</w:t>
            </w:r>
          </w:p>
        </w:tc>
        <w:tc>
          <w:tcPr>
            <w:tcW w:w="809" w:type="dxa"/>
            <w:vMerge w:val="continue"/>
            <w:shd w:val="clear" w:color="auto" w:fill="auto"/>
            <w:vAlign w:val="center"/>
          </w:tcPr>
          <w:p>
            <w:pPr>
              <w:snapToGrid w:val="0"/>
              <w:jc w:val="center"/>
              <w:rPr>
                <w:szCs w:val="21"/>
              </w:rPr>
            </w:pPr>
          </w:p>
        </w:tc>
        <w:tc>
          <w:tcPr>
            <w:tcW w:w="741" w:type="dxa"/>
            <w:vMerge w:val="continue"/>
            <w:shd w:val="clear" w:color="auto" w:fill="auto"/>
            <w:vAlign w:val="center"/>
          </w:tcPr>
          <w:p>
            <w:pPr>
              <w:snapToGrid w:val="0"/>
              <w:jc w:val="center"/>
              <w:rPr>
                <w:szCs w:val="21"/>
              </w:rPr>
            </w:pPr>
          </w:p>
        </w:tc>
        <w:tc>
          <w:tcPr>
            <w:tcW w:w="660" w:type="dxa"/>
            <w:shd w:val="clear" w:color="auto" w:fill="auto"/>
            <w:vAlign w:val="center"/>
          </w:tcPr>
          <w:p>
            <w:pPr>
              <w:snapToGrid w:val="0"/>
              <w:jc w:val="center"/>
              <w:rPr>
                <w:szCs w:val="21"/>
              </w:rPr>
            </w:pPr>
            <w:r>
              <w:rPr>
                <w:szCs w:val="21"/>
              </w:rPr>
              <w:t>氨氮</w:t>
            </w:r>
          </w:p>
        </w:tc>
        <w:tc>
          <w:tcPr>
            <w:tcW w:w="671" w:type="dxa"/>
            <w:shd w:val="clear" w:color="auto" w:fill="auto"/>
            <w:vAlign w:val="center"/>
          </w:tcPr>
          <w:p>
            <w:pPr>
              <w:snapToGrid w:val="0"/>
              <w:jc w:val="center"/>
              <w:rPr>
                <w:szCs w:val="21"/>
              </w:rPr>
            </w:pPr>
            <w:r>
              <w:rPr>
                <w:rFonts w:hint="eastAsia"/>
                <w:szCs w:val="21"/>
              </w:rPr>
              <w:t>28</w:t>
            </w:r>
          </w:p>
        </w:tc>
        <w:tc>
          <w:tcPr>
            <w:tcW w:w="584" w:type="dxa"/>
            <w:shd w:val="clear" w:color="auto" w:fill="auto"/>
            <w:vAlign w:val="center"/>
          </w:tcPr>
          <w:p>
            <w:pPr>
              <w:jc w:val="center"/>
              <w:rPr>
                <w:szCs w:val="21"/>
              </w:rPr>
            </w:pPr>
            <w:r>
              <w:rPr>
                <w:rFonts w:hint="eastAsia"/>
                <w:szCs w:val="21"/>
              </w:rPr>
              <w:t>0.75</w:t>
            </w:r>
          </w:p>
        </w:tc>
        <w:tc>
          <w:tcPr>
            <w:tcW w:w="671" w:type="dxa"/>
            <w:shd w:val="clear" w:color="auto" w:fill="auto"/>
            <w:vAlign w:val="center"/>
          </w:tcPr>
          <w:p>
            <w:pPr>
              <w:snapToGrid w:val="0"/>
              <w:jc w:val="center"/>
              <w:rPr>
                <w:szCs w:val="21"/>
              </w:rPr>
            </w:pPr>
            <w:r>
              <w:rPr>
                <w:szCs w:val="21"/>
              </w:rPr>
              <w:t>≤45</w:t>
            </w:r>
          </w:p>
        </w:tc>
        <w:tc>
          <w:tcPr>
            <w:tcW w:w="1231" w:type="dxa"/>
            <w:vMerge w:val="continue"/>
            <w:shd w:val="clear" w:color="auto" w:fill="auto"/>
            <w:vAlign w:val="center"/>
          </w:tcPr>
          <w:p>
            <w:pPr>
              <w:adjustRightInd w:val="0"/>
              <w:snapToGrid w:val="0"/>
              <w:spacing w:line="320" w:lineRule="exact"/>
              <w:jc w:val="center"/>
              <w:rPr>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54" w:hRule="atLeast"/>
        </w:trPr>
        <w:tc>
          <w:tcPr>
            <w:tcW w:w="426" w:type="dxa"/>
            <w:vMerge w:val="continue"/>
            <w:shd w:val="clear" w:color="auto" w:fill="auto"/>
            <w:vAlign w:val="center"/>
          </w:tcPr>
          <w:p>
            <w:pPr>
              <w:adjustRightInd w:val="0"/>
              <w:snapToGrid w:val="0"/>
              <w:spacing w:line="320" w:lineRule="exact"/>
              <w:jc w:val="center"/>
              <w:rPr>
                <w:sz w:val="18"/>
                <w:szCs w:val="21"/>
              </w:rPr>
            </w:pPr>
          </w:p>
        </w:tc>
        <w:tc>
          <w:tcPr>
            <w:tcW w:w="741" w:type="dxa"/>
            <w:vMerge w:val="continue"/>
            <w:shd w:val="clear" w:color="auto" w:fill="auto"/>
            <w:vAlign w:val="center"/>
          </w:tcPr>
          <w:p>
            <w:pPr>
              <w:adjustRightInd w:val="0"/>
              <w:snapToGrid w:val="0"/>
              <w:spacing w:line="320" w:lineRule="exact"/>
              <w:jc w:val="center"/>
              <w:rPr>
                <w:sz w:val="18"/>
                <w:szCs w:val="21"/>
              </w:rPr>
            </w:pPr>
          </w:p>
        </w:tc>
        <w:tc>
          <w:tcPr>
            <w:tcW w:w="660" w:type="dxa"/>
            <w:shd w:val="clear" w:color="auto" w:fill="auto"/>
            <w:vAlign w:val="center"/>
          </w:tcPr>
          <w:p>
            <w:pPr>
              <w:snapToGrid w:val="0"/>
              <w:jc w:val="center"/>
              <w:rPr>
                <w:szCs w:val="21"/>
              </w:rPr>
            </w:pPr>
            <w:r>
              <w:rPr>
                <w:szCs w:val="21"/>
              </w:rPr>
              <w:t>总磷</w:t>
            </w:r>
          </w:p>
        </w:tc>
        <w:tc>
          <w:tcPr>
            <w:tcW w:w="671" w:type="dxa"/>
            <w:shd w:val="clear" w:color="auto" w:fill="auto"/>
            <w:vAlign w:val="center"/>
          </w:tcPr>
          <w:p>
            <w:pPr>
              <w:snapToGrid w:val="0"/>
              <w:jc w:val="center"/>
              <w:rPr>
                <w:szCs w:val="21"/>
              </w:rPr>
            </w:pPr>
            <w:r>
              <w:rPr>
                <w:rFonts w:hint="eastAsia"/>
                <w:szCs w:val="21"/>
              </w:rPr>
              <w:t>5</w:t>
            </w:r>
          </w:p>
        </w:tc>
        <w:tc>
          <w:tcPr>
            <w:tcW w:w="663" w:type="dxa"/>
            <w:shd w:val="clear" w:color="auto" w:fill="auto"/>
            <w:vAlign w:val="center"/>
          </w:tcPr>
          <w:p>
            <w:pPr>
              <w:jc w:val="center"/>
              <w:rPr>
                <w:rFonts w:hint="eastAsia"/>
                <w:szCs w:val="21"/>
              </w:rPr>
            </w:pPr>
            <w:r>
              <w:rPr>
                <w:rFonts w:hint="eastAsia"/>
                <w:szCs w:val="21"/>
              </w:rPr>
              <w:t>0.13</w:t>
            </w:r>
          </w:p>
        </w:tc>
        <w:tc>
          <w:tcPr>
            <w:tcW w:w="809" w:type="dxa"/>
            <w:vMerge w:val="continue"/>
            <w:shd w:val="clear" w:color="auto" w:fill="auto"/>
            <w:vAlign w:val="center"/>
          </w:tcPr>
          <w:p>
            <w:pPr>
              <w:snapToGrid w:val="0"/>
              <w:jc w:val="center"/>
              <w:rPr>
                <w:szCs w:val="21"/>
              </w:rPr>
            </w:pPr>
          </w:p>
        </w:tc>
        <w:tc>
          <w:tcPr>
            <w:tcW w:w="741" w:type="dxa"/>
            <w:vMerge w:val="continue"/>
            <w:shd w:val="clear" w:color="auto" w:fill="auto"/>
            <w:vAlign w:val="center"/>
          </w:tcPr>
          <w:p>
            <w:pPr>
              <w:snapToGrid w:val="0"/>
              <w:jc w:val="center"/>
              <w:rPr>
                <w:szCs w:val="21"/>
              </w:rPr>
            </w:pPr>
          </w:p>
        </w:tc>
        <w:tc>
          <w:tcPr>
            <w:tcW w:w="660" w:type="dxa"/>
            <w:shd w:val="clear" w:color="auto" w:fill="auto"/>
            <w:vAlign w:val="center"/>
          </w:tcPr>
          <w:p>
            <w:pPr>
              <w:snapToGrid w:val="0"/>
              <w:jc w:val="center"/>
              <w:rPr>
                <w:szCs w:val="21"/>
              </w:rPr>
            </w:pPr>
            <w:r>
              <w:rPr>
                <w:szCs w:val="21"/>
              </w:rPr>
              <w:t>TP</w:t>
            </w:r>
          </w:p>
        </w:tc>
        <w:tc>
          <w:tcPr>
            <w:tcW w:w="671" w:type="dxa"/>
            <w:shd w:val="clear" w:color="auto" w:fill="auto"/>
            <w:vAlign w:val="center"/>
          </w:tcPr>
          <w:p>
            <w:pPr>
              <w:snapToGrid w:val="0"/>
              <w:jc w:val="center"/>
              <w:rPr>
                <w:rFonts w:hint="eastAsia"/>
                <w:szCs w:val="21"/>
              </w:rPr>
            </w:pPr>
            <w:r>
              <w:rPr>
                <w:szCs w:val="21"/>
              </w:rPr>
              <w:t>3.5</w:t>
            </w:r>
          </w:p>
        </w:tc>
        <w:tc>
          <w:tcPr>
            <w:tcW w:w="584" w:type="dxa"/>
            <w:shd w:val="clear" w:color="auto" w:fill="auto"/>
            <w:vAlign w:val="center"/>
          </w:tcPr>
          <w:p>
            <w:pPr>
              <w:jc w:val="center"/>
              <w:rPr>
                <w:rFonts w:hint="eastAsia"/>
                <w:szCs w:val="21"/>
              </w:rPr>
            </w:pPr>
            <w:r>
              <w:rPr>
                <w:rFonts w:hint="eastAsia"/>
                <w:szCs w:val="21"/>
              </w:rPr>
              <w:t>0.09</w:t>
            </w:r>
          </w:p>
        </w:tc>
        <w:tc>
          <w:tcPr>
            <w:tcW w:w="671" w:type="dxa"/>
            <w:shd w:val="clear" w:color="auto" w:fill="auto"/>
            <w:vAlign w:val="center"/>
          </w:tcPr>
          <w:p>
            <w:pPr>
              <w:snapToGrid w:val="0"/>
              <w:jc w:val="center"/>
              <w:rPr>
                <w:szCs w:val="21"/>
              </w:rPr>
            </w:pPr>
            <w:r>
              <w:rPr>
                <w:szCs w:val="21"/>
              </w:rPr>
              <w:t>≤8</w:t>
            </w:r>
          </w:p>
        </w:tc>
        <w:tc>
          <w:tcPr>
            <w:tcW w:w="1231" w:type="dxa"/>
            <w:vMerge w:val="continue"/>
            <w:shd w:val="clear" w:color="auto" w:fill="auto"/>
            <w:vAlign w:val="center"/>
          </w:tcPr>
          <w:p>
            <w:pPr>
              <w:adjustRightInd w:val="0"/>
              <w:snapToGrid w:val="0"/>
              <w:spacing w:line="320" w:lineRule="exact"/>
              <w:jc w:val="center"/>
              <w:rPr>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3" w:hRule="atLeast"/>
        </w:trPr>
        <w:tc>
          <w:tcPr>
            <w:tcW w:w="426" w:type="dxa"/>
            <w:vMerge w:val="continue"/>
            <w:shd w:val="clear" w:color="auto" w:fill="auto"/>
            <w:vAlign w:val="center"/>
          </w:tcPr>
          <w:p>
            <w:pPr>
              <w:adjustRightInd w:val="0"/>
              <w:snapToGrid w:val="0"/>
              <w:spacing w:line="320" w:lineRule="exact"/>
              <w:jc w:val="center"/>
              <w:rPr>
                <w:sz w:val="18"/>
                <w:szCs w:val="21"/>
              </w:rPr>
            </w:pPr>
          </w:p>
        </w:tc>
        <w:tc>
          <w:tcPr>
            <w:tcW w:w="741" w:type="dxa"/>
            <w:vMerge w:val="continue"/>
            <w:shd w:val="clear" w:color="auto" w:fill="auto"/>
            <w:vAlign w:val="center"/>
          </w:tcPr>
          <w:p>
            <w:pPr>
              <w:adjustRightInd w:val="0"/>
              <w:snapToGrid w:val="0"/>
              <w:spacing w:line="320" w:lineRule="exact"/>
              <w:jc w:val="center"/>
              <w:rPr>
                <w:sz w:val="18"/>
                <w:szCs w:val="21"/>
              </w:rPr>
            </w:pPr>
          </w:p>
        </w:tc>
        <w:tc>
          <w:tcPr>
            <w:tcW w:w="660" w:type="dxa"/>
            <w:shd w:val="clear" w:color="auto" w:fill="auto"/>
            <w:vAlign w:val="center"/>
          </w:tcPr>
          <w:p>
            <w:pPr>
              <w:snapToGrid w:val="0"/>
              <w:jc w:val="center"/>
              <w:rPr>
                <w:szCs w:val="21"/>
              </w:rPr>
            </w:pPr>
            <w:r>
              <w:rPr>
                <w:rFonts w:hint="eastAsia"/>
                <w:szCs w:val="21"/>
              </w:rPr>
              <w:t>总氮</w:t>
            </w:r>
          </w:p>
        </w:tc>
        <w:tc>
          <w:tcPr>
            <w:tcW w:w="671" w:type="dxa"/>
            <w:shd w:val="clear" w:color="auto" w:fill="auto"/>
            <w:vAlign w:val="center"/>
          </w:tcPr>
          <w:p>
            <w:pPr>
              <w:snapToGrid w:val="0"/>
              <w:jc w:val="center"/>
              <w:rPr>
                <w:szCs w:val="21"/>
              </w:rPr>
            </w:pPr>
            <w:r>
              <w:rPr>
                <w:rFonts w:hint="eastAsia"/>
                <w:szCs w:val="21"/>
              </w:rPr>
              <w:t>70</w:t>
            </w:r>
          </w:p>
        </w:tc>
        <w:tc>
          <w:tcPr>
            <w:tcW w:w="663" w:type="dxa"/>
            <w:shd w:val="clear" w:color="auto" w:fill="auto"/>
            <w:vAlign w:val="center"/>
          </w:tcPr>
          <w:p>
            <w:pPr>
              <w:jc w:val="center"/>
              <w:rPr>
                <w:szCs w:val="21"/>
              </w:rPr>
            </w:pPr>
            <w:r>
              <w:rPr>
                <w:rFonts w:hint="eastAsia"/>
                <w:szCs w:val="21"/>
              </w:rPr>
              <w:t>1.88</w:t>
            </w:r>
          </w:p>
        </w:tc>
        <w:tc>
          <w:tcPr>
            <w:tcW w:w="809" w:type="dxa"/>
            <w:vMerge w:val="continue"/>
            <w:shd w:val="clear" w:color="auto" w:fill="auto"/>
            <w:vAlign w:val="center"/>
          </w:tcPr>
          <w:p>
            <w:pPr>
              <w:snapToGrid w:val="0"/>
              <w:jc w:val="center"/>
              <w:rPr>
                <w:szCs w:val="21"/>
              </w:rPr>
            </w:pPr>
          </w:p>
        </w:tc>
        <w:tc>
          <w:tcPr>
            <w:tcW w:w="741" w:type="dxa"/>
            <w:vMerge w:val="continue"/>
            <w:shd w:val="clear" w:color="auto" w:fill="auto"/>
            <w:vAlign w:val="center"/>
          </w:tcPr>
          <w:p>
            <w:pPr>
              <w:snapToGrid w:val="0"/>
              <w:jc w:val="center"/>
              <w:rPr>
                <w:szCs w:val="21"/>
              </w:rPr>
            </w:pPr>
          </w:p>
        </w:tc>
        <w:tc>
          <w:tcPr>
            <w:tcW w:w="660" w:type="dxa"/>
            <w:shd w:val="clear" w:color="auto" w:fill="auto"/>
            <w:vAlign w:val="center"/>
          </w:tcPr>
          <w:p>
            <w:pPr>
              <w:snapToGrid w:val="0"/>
              <w:jc w:val="center"/>
              <w:rPr>
                <w:szCs w:val="21"/>
              </w:rPr>
            </w:pPr>
            <w:r>
              <w:rPr>
                <w:rFonts w:hint="eastAsia"/>
                <w:szCs w:val="21"/>
              </w:rPr>
              <w:t>总氮</w:t>
            </w:r>
          </w:p>
        </w:tc>
        <w:tc>
          <w:tcPr>
            <w:tcW w:w="671" w:type="dxa"/>
            <w:shd w:val="clear" w:color="auto" w:fill="auto"/>
            <w:vAlign w:val="center"/>
          </w:tcPr>
          <w:p>
            <w:pPr>
              <w:snapToGrid w:val="0"/>
              <w:jc w:val="center"/>
              <w:rPr>
                <w:szCs w:val="21"/>
              </w:rPr>
            </w:pPr>
            <w:r>
              <w:rPr>
                <w:rFonts w:hint="eastAsia"/>
                <w:szCs w:val="21"/>
              </w:rPr>
              <w:t>70</w:t>
            </w:r>
          </w:p>
        </w:tc>
        <w:tc>
          <w:tcPr>
            <w:tcW w:w="584" w:type="dxa"/>
            <w:shd w:val="clear" w:color="auto" w:fill="auto"/>
            <w:vAlign w:val="center"/>
          </w:tcPr>
          <w:p>
            <w:pPr>
              <w:jc w:val="center"/>
              <w:rPr>
                <w:szCs w:val="21"/>
              </w:rPr>
            </w:pPr>
            <w:r>
              <w:rPr>
                <w:rFonts w:hint="eastAsia"/>
                <w:szCs w:val="21"/>
              </w:rPr>
              <w:t>1.88</w:t>
            </w:r>
          </w:p>
        </w:tc>
        <w:tc>
          <w:tcPr>
            <w:tcW w:w="671" w:type="dxa"/>
            <w:shd w:val="clear" w:color="auto" w:fill="auto"/>
            <w:vAlign w:val="center"/>
          </w:tcPr>
          <w:p>
            <w:pPr>
              <w:snapToGrid w:val="0"/>
              <w:jc w:val="center"/>
              <w:rPr>
                <w:szCs w:val="21"/>
              </w:rPr>
            </w:pPr>
            <w:r>
              <w:rPr>
                <w:szCs w:val="21"/>
              </w:rPr>
              <w:t>≤</w:t>
            </w:r>
            <w:r>
              <w:rPr>
                <w:rFonts w:hint="eastAsia"/>
                <w:szCs w:val="21"/>
              </w:rPr>
              <w:t>70</w:t>
            </w:r>
          </w:p>
        </w:tc>
        <w:tc>
          <w:tcPr>
            <w:tcW w:w="1231" w:type="dxa"/>
            <w:vMerge w:val="continue"/>
            <w:shd w:val="clear" w:color="auto" w:fill="auto"/>
            <w:vAlign w:val="center"/>
          </w:tcPr>
          <w:p>
            <w:pPr>
              <w:adjustRightInd w:val="0"/>
              <w:snapToGrid w:val="0"/>
              <w:spacing w:line="320" w:lineRule="exact"/>
              <w:jc w:val="center"/>
              <w:rPr>
                <w:sz w:val="18"/>
                <w:szCs w:val="21"/>
              </w:rPr>
            </w:pPr>
          </w:p>
        </w:tc>
      </w:tr>
      <w:bookmarkEnd w:id="120"/>
      <w:bookmarkEnd w:id="121"/>
      <w:bookmarkEnd w:id="122"/>
    </w:tbl>
    <w:p>
      <w:pPr>
        <w:adjustRightInd w:val="0"/>
        <w:snapToGrid w:val="0"/>
        <w:spacing w:line="360" w:lineRule="auto"/>
        <w:jc w:val="center"/>
        <w:rPr>
          <w:rFonts w:hint="eastAsia"/>
          <w:b/>
          <w:sz w:val="24"/>
        </w:rPr>
      </w:pPr>
    </w:p>
    <w:p>
      <w:pPr>
        <w:pStyle w:val="4"/>
        <w:adjustRightInd w:val="0"/>
        <w:snapToGrid w:val="0"/>
        <w:spacing w:before="0" w:after="0" w:line="360" w:lineRule="auto"/>
        <w:rPr>
          <w:bCs w:val="0"/>
          <w:sz w:val="24"/>
          <w:szCs w:val="24"/>
        </w:rPr>
      </w:pPr>
      <w:bookmarkStart w:id="123" w:name="_Toc435690415"/>
      <w:r>
        <w:rPr>
          <w:rFonts w:hint="eastAsia"/>
          <w:bCs w:val="0"/>
          <w:sz w:val="24"/>
          <w:szCs w:val="24"/>
        </w:rPr>
        <w:t>2.6.2营运期</w:t>
      </w:r>
      <w:r>
        <w:rPr>
          <w:bCs w:val="0"/>
          <w:sz w:val="24"/>
          <w:szCs w:val="24"/>
        </w:rPr>
        <w:t>大气</w:t>
      </w:r>
      <w:r>
        <w:rPr>
          <w:rFonts w:hint="eastAsia"/>
          <w:bCs w:val="0"/>
          <w:sz w:val="24"/>
          <w:szCs w:val="24"/>
        </w:rPr>
        <w:t>环境影响分析</w:t>
      </w:r>
      <w:bookmarkEnd w:id="123"/>
    </w:p>
    <w:p>
      <w:pPr>
        <w:adjustRightInd w:val="0"/>
        <w:snapToGrid w:val="0"/>
        <w:spacing w:line="360" w:lineRule="auto"/>
        <w:ind w:firstLine="480" w:firstLineChars="200"/>
        <w:rPr>
          <w:rFonts w:hint="eastAsia"/>
          <w:sz w:val="24"/>
        </w:rPr>
      </w:pPr>
      <w:r>
        <w:rPr>
          <w:sz w:val="24"/>
        </w:rPr>
        <w:t>项目运营期</w:t>
      </w:r>
      <w:r>
        <w:rPr>
          <w:rFonts w:hint="eastAsia"/>
          <w:sz w:val="24"/>
        </w:rPr>
        <w:t>仓储货物为</w:t>
      </w:r>
      <w:r>
        <w:rPr>
          <w:sz w:val="24"/>
        </w:rPr>
        <w:t>家用电器和服装鞋帽、婴儿用品、食品、化妆品、汽车用品、珠宝、书籍、乐器等日用百货</w:t>
      </w:r>
      <w:r>
        <w:rPr>
          <w:rFonts w:hint="eastAsia"/>
          <w:sz w:val="24"/>
        </w:rPr>
        <w:t>，外包装为纸箱，分包过程起尘量小，对环境空气影响较小。</w:t>
      </w:r>
      <w:r>
        <w:rPr>
          <w:sz w:val="24"/>
        </w:rPr>
        <w:t>废气主要</w:t>
      </w:r>
      <w:r>
        <w:rPr>
          <w:rFonts w:hint="eastAsia"/>
          <w:sz w:val="24"/>
        </w:rPr>
        <w:t>为物流</w:t>
      </w:r>
      <w:r>
        <w:rPr>
          <w:sz w:val="24"/>
        </w:rPr>
        <w:t>运输车辆汽车尾气。</w:t>
      </w:r>
    </w:p>
    <w:p>
      <w:pPr>
        <w:adjustRightInd w:val="0"/>
        <w:snapToGrid w:val="0"/>
        <w:spacing w:line="360" w:lineRule="auto"/>
        <w:ind w:firstLine="480" w:firstLineChars="200"/>
        <w:rPr>
          <w:rFonts w:hint="eastAsia"/>
          <w:sz w:val="24"/>
        </w:rPr>
      </w:pPr>
      <w:r>
        <w:rPr>
          <w:rFonts w:hint="eastAsia"/>
          <w:sz w:val="24"/>
        </w:rPr>
        <w:t>本项目根据配送量共设机动车停车位527个，均为露天停车位。汽车尾气主要是指物流车辆进出，机动车怠速及慢速（≤5km/h）状态下的尾气排放，包括排气管尾气、曲轴箱漏气及油箱和化油箱等燃料系统的泄漏等。汽车尾气中主要污染因子为CO、NOx等。汽车尾气的排放量与车型、车况和车辆数等有关，本项目进出车辆主要为货车，参照《环境保护实用数据手册》（P104表2-148机动车辆消耗单位燃料大气污染物排放系数），本项目汽车尾气排出的大气污染物排放系数见表2.6-2。</w:t>
      </w:r>
    </w:p>
    <w:p>
      <w:pPr>
        <w:adjustRightInd w:val="0"/>
        <w:snapToGrid w:val="0"/>
        <w:jc w:val="center"/>
        <w:rPr>
          <w:rFonts w:hint="eastAsia"/>
          <w:b/>
          <w:snapToGrid w:val="0"/>
          <w:kern w:val="0"/>
          <w:sz w:val="22"/>
        </w:rPr>
      </w:pPr>
    </w:p>
    <w:p>
      <w:pPr>
        <w:adjustRightInd w:val="0"/>
        <w:snapToGrid w:val="0"/>
        <w:jc w:val="center"/>
        <w:rPr>
          <w:rFonts w:hint="eastAsia"/>
          <w:b/>
        </w:rPr>
      </w:pPr>
      <w:r>
        <w:rPr>
          <w:rFonts w:hint="eastAsia"/>
          <w:b/>
        </w:rPr>
        <w:t>表2.6-2   机动车消耗单位燃料大气污染物排放系数（g/L）</w:t>
      </w:r>
    </w:p>
    <w:tbl>
      <w:tblPr>
        <w:tblStyle w:val="59"/>
        <w:tblW w:w="85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7"/>
        <w:gridCol w:w="1642"/>
        <w:gridCol w:w="23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atLeast"/>
          <w:jc w:val="center"/>
        </w:trPr>
        <w:tc>
          <w:tcPr>
            <w:tcW w:w="4527" w:type="dxa"/>
            <w:tcBorders>
              <w:top w:val="single" w:color="auto" w:sz="4" w:space="0"/>
              <w:left w:val="single" w:color="auto" w:sz="4" w:space="0"/>
              <w:tl2br w:val="single" w:color="auto" w:sz="4" w:space="0"/>
            </w:tcBorders>
            <w:vAlign w:val="center"/>
          </w:tcPr>
          <w:p>
            <w:pPr>
              <w:snapToGrid w:val="0"/>
              <w:jc w:val="center"/>
              <w:rPr>
                <w:rFonts w:hint="eastAsia"/>
                <w:szCs w:val="21"/>
              </w:rPr>
            </w:pPr>
            <w:r>
              <w:rPr>
                <w:rFonts w:hint="eastAsia"/>
                <w:szCs w:val="21"/>
              </w:rPr>
              <w:t xml:space="preserve">                污染物</w:t>
            </w:r>
          </w:p>
          <w:p>
            <w:pPr>
              <w:snapToGrid w:val="0"/>
              <w:rPr>
                <w:rFonts w:hint="eastAsia"/>
                <w:szCs w:val="21"/>
              </w:rPr>
            </w:pPr>
            <w:r>
              <w:rPr>
                <w:rFonts w:hint="eastAsia"/>
                <w:szCs w:val="21"/>
              </w:rPr>
              <w:t>车种</w:t>
            </w:r>
          </w:p>
        </w:tc>
        <w:tc>
          <w:tcPr>
            <w:tcW w:w="1642" w:type="dxa"/>
            <w:tcBorders>
              <w:top w:val="single" w:color="auto" w:sz="4" w:space="0"/>
            </w:tcBorders>
            <w:vAlign w:val="center"/>
          </w:tcPr>
          <w:p>
            <w:pPr>
              <w:snapToGrid w:val="0"/>
              <w:jc w:val="center"/>
              <w:rPr>
                <w:rFonts w:hint="eastAsia"/>
                <w:szCs w:val="21"/>
              </w:rPr>
            </w:pPr>
            <w:r>
              <w:rPr>
                <w:rFonts w:hint="eastAsia"/>
                <w:szCs w:val="21"/>
              </w:rPr>
              <w:t>CO</w:t>
            </w:r>
          </w:p>
        </w:tc>
        <w:tc>
          <w:tcPr>
            <w:tcW w:w="2359" w:type="dxa"/>
            <w:tcBorders>
              <w:top w:val="single" w:color="auto" w:sz="4" w:space="0"/>
            </w:tcBorders>
            <w:vAlign w:val="center"/>
          </w:tcPr>
          <w:p>
            <w:pPr>
              <w:snapToGrid w:val="0"/>
              <w:jc w:val="center"/>
              <w:rPr>
                <w:rFonts w:hint="eastAsia"/>
                <w:szCs w:val="21"/>
              </w:rPr>
            </w:pPr>
            <w:r>
              <w:rPr>
                <w:rFonts w:hint="eastAsia"/>
                <w:szCs w:val="21"/>
              </w:rPr>
              <w:t>NOx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7" w:hRule="atLeast"/>
          <w:jc w:val="center"/>
        </w:trPr>
        <w:tc>
          <w:tcPr>
            <w:tcW w:w="4527" w:type="dxa"/>
            <w:tcBorders>
              <w:left w:val="single" w:color="auto" w:sz="4" w:space="0"/>
              <w:bottom w:val="single" w:color="auto" w:sz="4" w:space="0"/>
            </w:tcBorders>
            <w:vAlign w:val="center"/>
          </w:tcPr>
          <w:p>
            <w:pPr>
              <w:snapToGrid w:val="0"/>
              <w:jc w:val="center"/>
              <w:rPr>
                <w:rFonts w:hint="eastAsia"/>
                <w:szCs w:val="21"/>
              </w:rPr>
            </w:pPr>
            <w:r>
              <w:rPr>
                <w:rFonts w:hint="eastAsia"/>
                <w:szCs w:val="21"/>
              </w:rPr>
              <w:t>货车</w:t>
            </w:r>
          </w:p>
        </w:tc>
        <w:tc>
          <w:tcPr>
            <w:tcW w:w="1642" w:type="dxa"/>
            <w:tcBorders>
              <w:bottom w:val="single" w:color="auto" w:sz="4" w:space="0"/>
            </w:tcBorders>
            <w:vAlign w:val="center"/>
          </w:tcPr>
          <w:p>
            <w:pPr>
              <w:snapToGrid w:val="0"/>
              <w:jc w:val="center"/>
              <w:rPr>
                <w:rFonts w:hint="eastAsia"/>
                <w:szCs w:val="21"/>
              </w:rPr>
            </w:pPr>
            <w:r>
              <w:rPr>
                <w:rFonts w:hint="eastAsia"/>
                <w:szCs w:val="21"/>
              </w:rPr>
              <w:t>33.8</w:t>
            </w:r>
          </w:p>
        </w:tc>
        <w:tc>
          <w:tcPr>
            <w:tcW w:w="2359" w:type="dxa"/>
            <w:tcBorders>
              <w:bottom w:val="single" w:color="auto" w:sz="4" w:space="0"/>
            </w:tcBorders>
            <w:vAlign w:val="center"/>
          </w:tcPr>
          <w:p>
            <w:pPr>
              <w:snapToGrid w:val="0"/>
              <w:jc w:val="center"/>
              <w:rPr>
                <w:rFonts w:hint="eastAsia"/>
                <w:szCs w:val="21"/>
              </w:rPr>
            </w:pPr>
            <w:r>
              <w:rPr>
                <w:rFonts w:hint="eastAsia"/>
                <w:szCs w:val="21"/>
              </w:rPr>
              <w:t>125.7</w:t>
            </w:r>
          </w:p>
        </w:tc>
      </w:tr>
    </w:tbl>
    <w:p>
      <w:pPr>
        <w:adjustRightInd w:val="0"/>
        <w:snapToGrid w:val="0"/>
        <w:spacing w:line="360" w:lineRule="auto"/>
        <w:ind w:firstLine="480" w:firstLineChars="200"/>
        <w:rPr>
          <w:rFonts w:hint="eastAsia"/>
          <w:sz w:val="24"/>
        </w:rPr>
      </w:pPr>
    </w:p>
    <w:p>
      <w:pPr>
        <w:adjustRightInd w:val="0"/>
        <w:snapToGrid w:val="0"/>
        <w:spacing w:line="360" w:lineRule="auto"/>
        <w:ind w:firstLine="480" w:firstLineChars="200"/>
        <w:rPr>
          <w:rFonts w:hint="eastAsia"/>
          <w:sz w:val="24"/>
        </w:rPr>
      </w:pPr>
      <w:r>
        <w:rPr>
          <w:rFonts w:hint="eastAsia"/>
          <w:sz w:val="24"/>
        </w:rPr>
        <w:t>一般汽车出入停车场的行驶速度要求不大于5 km/h，出入口到泊位的平均距离如按照50 m计算，汽车在停车场内运行时间约为36 s；从汽车停在泊位至关闭发动机一般在1~3s；而汽车从泊位启动至出车一般在3~180s，平均约60s，故汽车出入停车场与在停车场内的运行时间约为100s。根据调查，车辆进出停车场的平均耗油速率为0.20 L/km，则每辆汽车进出停车场产生的废气污染物的量可由下式计算：</w:t>
      </w:r>
    </w:p>
    <w:p>
      <w:pPr>
        <w:adjustRightInd w:val="0"/>
        <w:snapToGrid w:val="0"/>
        <w:spacing w:line="360" w:lineRule="auto"/>
        <w:jc w:val="center"/>
        <w:rPr>
          <w:rFonts w:hint="eastAsia"/>
          <w:sz w:val="24"/>
        </w:rPr>
      </w:pPr>
      <w:r>
        <w:rPr>
          <w:rFonts w:hint="eastAsia"/>
          <w:sz w:val="24"/>
        </w:rPr>
        <w:t>g= f•M，其中：M= m•t</w:t>
      </w:r>
    </w:p>
    <w:p>
      <w:pPr>
        <w:adjustRightInd w:val="0"/>
        <w:snapToGrid w:val="0"/>
        <w:spacing w:line="360" w:lineRule="auto"/>
        <w:ind w:firstLine="480" w:firstLineChars="200"/>
        <w:rPr>
          <w:rFonts w:hint="eastAsia"/>
          <w:sz w:val="24"/>
        </w:rPr>
      </w:pPr>
      <w:r>
        <w:rPr>
          <w:rFonts w:hint="eastAsia"/>
          <w:sz w:val="24"/>
        </w:rPr>
        <w:t>式中：f—大气污染物排放系数（g/L汽油）；</w:t>
      </w:r>
    </w:p>
    <w:p>
      <w:pPr>
        <w:adjustRightInd w:val="0"/>
        <w:snapToGrid w:val="0"/>
        <w:spacing w:line="360" w:lineRule="auto"/>
        <w:ind w:firstLine="480" w:firstLineChars="200"/>
        <w:rPr>
          <w:rFonts w:hint="eastAsia"/>
          <w:sz w:val="24"/>
        </w:rPr>
      </w:pPr>
      <w:r>
        <w:rPr>
          <w:rFonts w:hint="eastAsia"/>
          <w:sz w:val="24"/>
        </w:rPr>
        <w:t>M—每辆汽车进出停车场耗油量（L）；</w:t>
      </w:r>
    </w:p>
    <w:p>
      <w:pPr>
        <w:adjustRightInd w:val="0"/>
        <w:snapToGrid w:val="0"/>
        <w:spacing w:line="360" w:lineRule="auto"/>
        <w:ind w:firstLine="480" w:firstLineChars="200"/>
        <w:rPr>
          <w:rFonts w:hint="eastAsia"/>
          <w:sz w:val="24"/>
        </w:rPr>
      </w:pPr>
      <w:r>
        <w:rPr>
          <w:rFonts w:hint="eastAsia"/>
          <w:sz w:val="24"/>
        </w:rPr>
        <w:t>t—汽车出入停车场与在停车场内的运行时间总和，由上述分析可知，约为100 s；</w:t>
      </w:r>
    </w:p>
    <w:p>
      <w:pPr>
        <w:adjustRightInd w:val="0"/>
        <w:snapToGrid w:val="0"/>
        <w:spacing w:line="360" w:lineRule="auto"/>
        <w:ind w:firstLine="480" w:firstLineChars="200"/>
        <w:rPr>
          <w:rFonts w:hint="eastAsia"/>
          <w:sz w:val="24"/>
        </w:rPr>
      </w:pPr>
      <w:r>
        <w:rPr>
          <w:rFonts w:hint="eastAsia"/>
          <w:sz w:val="24"/>
        </w:rPr>
        <w:t>m—车辆进出停车场的平均耗油速率，约为0.20L/km，按照车速5km/h计算，可得2.78×10</w:t>
      </w:r>
      <w:r>
        <w:rPr>
          <w:rFonts w:hint="eastAsia"/>
          <w:sz w:val="24"/>
          <w:vertAlign w:val="superscript"/>
        </w:rPr>
        <w:t>-4</w:t>
      </w:r>
      <w:r>
        <w:rPr>
          <w:rFonts w:hint="eastAsia"/>
          <w:sz w:val="24"/>
        </w:rPr>
        <w:t xml:space="preserve"> L/s。</w:t>
      </w:r>
    </w:p>
    <w:p>
      <w:pPr>
        <w:adjustRightInd w:val="0"/>
        <w:snapToGrid w:val="0"/>
        <w:spacing w:line="360" w:lineRule="auto"/>
        <w:ind w:firstLine="480" w:firstLineChars="200"/>
        <w:rPr>
          <w:rFonts w:hint="eastAsia"/>
          <w:sz w:val="24"/>
        </w:rPr>
      </w:pPr>
      <w:r>
        <w:rPr>
          <w:rFonts w:hint="eastAsia"/>
          <w:sz w:val="24"/>
        </w:rPr>
        <w:t>由上式计算可知每辆汽车进出停车场一次耗油量为0.0278 L（出入口到泊位的平均距离以50 m计），每辆汽车进出停车场产生的废气污染物CO、NOx的量分别为0.97 g、0.61 g。</w:t>
      </w:r>
    </w:p>
    <w:p>
      <w:pPr>
        <w:adjustRightInd w:val="0"/>
        <w:snapToGrid w:val="0"/>
        <w:spacing w:line="360" w:lineRule="auto"/>
        <w:ind w:firstLine="480" w:firstLineChars="200"/>
        <w:rPr>
          <w:rFonts w:hint="eastAsia"/>
          <w:sz w:val="24"/>
        </w:rPr>
      </w:pPr>
      <w:r>
        <w:rPr>
          <w:rFonts w:hint="eastAsia"/>
          <w:sz w:val="24"/>
        </w:rPr>
        <w:t>停车场对环境的影响与其运行工况（车流量）直接相关。根据类比调查，本项目停车场每个停车位平均每天有3.5个车次进出，根据停车场的泊位数，计算废气排放情况见表2.6-3。</w:t>
      </w:r>
      <w:r>
        <w:rPr>
          <w:sz w:val="24"/>
        </w:rPr>
        <w:t>本项目</w:t>
      </w:r>
      <w:r>
        <w:rPr>
          <w:rFonts w:hint="eastAsia"/>
          <w:sz w:val="24"/>
        </w:rPr>
        <w:t>大气污染物排放</w:t>
      </w:r>
      <w:r>
        <w:rPr>
          <w:sz w:val="24"/>
        </w:rPr>
        <w:t>汇总情况见表</w:t>
      </w:r>
      <w:r>
        <w:rPr>
          <w:rFonts w:hint="eastAsia"/>
          <w:sz w:val="24"/>
        </w:rPr>
        <w:t>2.6-4</w:t>
      </w:r>
      <w:r>
        <w:rPr>
          <w:sz w:val="24"/>
        </w:rPr>
        <w:t>。</w:t>
      </w:r>
    </w:p>
    <w:p>
      <w:pPr>
        <w:adjustRightInd w:val="0"/>
        <w:snapToGrid w:val="0"/>
        <w:jc w:val="center"/>
        <w:rPr>
          <w:rFonts w:hint="eastAsia"/>
          <w:b/>
        </w:rPr>
      </w:pPr>
      <w:r>
        <w:rPr>
          <w:rFonts w:hint="eastAsia"/>
          <w:b/>
        </w:rPr>
        <w:t>表2.6-3  汽车尾气污染物排放情况</w:t>
      </w:r>
    </w:p>
    <w:tbl>
      <w:tblPr>
        <w:tblStyle w:val="59"/>
        <w:tblW w:w="85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94"/>
        <w:gridCol w:w="1547"/>
        <w:gridCol w:w="2589"/>
        <w:gridCol w:w="23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7" w:hRule="atLeast"/>
          <w:jc w:val="center"/>
        </w:trPr>
        <w:tc>
          <w:tcPr>
            <w:tcW w:w="1994" w:type="dxa"/>
            <w:vMerge w:val="restart"/>
            <w:vAlign w:val="center"/>
          </w:tcPr>
          <w:p>
            <w:pPr>
              <w:snapToGrid w:val="0"/>
              <w:jc w:val="center"/>
              <w:rPr>
                <w:rFonts w:hint="eastAsia"/>
                <w:szCs w:val="21"/>
              </w:rPr>
            </w:pPr>
            <w:r>
              <w:rPr>
                <w:rFonts w:hint="eastAsia"/>
                <w:szCs w:val="21"/>
              </w:rPr>
              <w:t>泊位（个）</w:t>
            </w:r>
          </w:p>
        </w:tc>
        <w:tc>
          <w:tcPr>
            <w:tcW w:w="1547" w:type="dxa"/>
            <w:vMerge w:val="restart"/>
            <w:vAlign w:val="center"/>
          </w:tcPr>
          <w:p>
            <w:pPr>
              <w:snapToGrid w:val="0"/>
              <w:jc w:val="center"/>
              <w:rPr>
                <w:rFonts w:hint="eastAsia"/>
                <w:szCs w:val="21"/>
              </w:rPr>
            </w:pPr>
            <w:r>
              <w:rPr>
                <w:rFonts w:hint="eastAsia"/>
                <w:szCs w:val="21"/>
              </w:rPr>
              <w:t>日车流量</w:t>
            </w:r>
          </w:p>
        </w:tc>
        <w:tc>
          <w:tcPr>
            <w:tcW w:w="4987" w:type="dxa"/>
            <w:gridSpan w:val="2"/>
            <w:vAlign w:val="center"/>
          </w:tcPr>
          <w:p>
            <w:pPr>
              <w:snapToGrid w:val="0"/>
              <w:jc w:val="center"/>
              <w:rPr>
                <w:rFonts w:hint="eastAsia"/>
                <w:szCs w:val="21"/>
              </w:rPr>
            </w:pPr>
            <w:r>
              <w:rPr>
                <w:rFonts w:hint="eastAsia"/>
                <w:szCs w:val="21"/>
              </w:rPr>
              <w:t>污染物排放量（t/a）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7" w:hRule="atLeast"/>
          <w:jc w:val="center"/>
        </w:trPr>
        <w:tc>
          <w:tcPr>
            <w:tcW w:w="1994" w:type="dxa"/>
            <w:vMerge w:val="continue"/>
            <w:vAlign w:val="center"/>
          </w:tcPr>
          <w:p>
            <w:pPr>
              <w:snapToGrid w:val="0"/>
              <w:jc w:val="center"/>
              <w:rPr>
                <w:rFonts w:hint="eastAsia"/>
                <w:szCs w:val="21"/>
              </w:rPr>
            </w:pPr>
          </w:p>
        </w:tc>
        <w:tc>
          <w:tcPr>
            <w:tcW w:w="1547" w:type="dxa"/>
            <w:vMerge w:val="continue"/>
            <w:vAlign w:val="center"/>
          </w:tcPr>
          <w:p>
            <w:pPr>
              <w:snapToGrid w:val="0"/>
              <w:jc w:val="center"/>
              <w:rPr>
                <w:rFonts w:hint="eastAsia"/>
                <w:szCs w:val="21"/>
              </w:rPr>
            </w:pPr>
          </w:p>
        </w:tc>
        <w:tc>
          <w:tcPr>
            <w:tcW w:w="2589" w:type="dxa"/>
            <w:vAlign w:val="center"/>
          </w:tcPr>
          <w:p>
            <w:pPr>
              <w:snapToGrid w:val="0"/>
              <w:jc w:val="center"/>
              <w:rPr>
                <w:rFonts w:hint="eastAsia"/>
                <w:szCs w:val="21"/>
              </w:rPr>
            </w:pPr>
            <w:r>
              <w:rPr>
                <w:rFonts w:hint="eastAsia"/>
                <w:szCs w:val="21"/>
              </w:rPr>
              <w:t>CO</w:t>
            </w:r>
          </w:p>
        </w:tc>
        <w:tc>
          <w:tcPr>
            <w:tcW w:w="2398" w:type="dxa"/>
            <w:vAlign w:val="center"/>
          </w:tcPr>
          <w:p>
            <w:pPr>
              <w:snapToGrid w:val="0"/>
              <w:jc w:val="center"/>
              <w:rPr>
                <w:rFonts w:hint="eastAsia"/>
                <w:szCs w:val="21"/>
              </w:rPr>
            </w:pPr>
            <w:r>
              <w:rPr>
                <w:rFonts w:hint="eastAsia"/>
                <w:szCs w:val="21"/>
              </w:rPr>
              <w:t>NOx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7" w:hRule="atLeast"/>
          <w:jc w:val="center"/>
        </w:trPr>
        <w:tc>
          <w:tcPr>
            <w:tcW w:w="1994" w:type="dxa"/>
            <w:vAlign w:val="center"/>
          </w:tcPr>
          <w:p>
            <w:pPr>
              <w:snapToGrid w:val="0"/>
              <w:jc w:val="center"/>
              <w:rPr>
                <w:rFonts w:hint="eastAsia"/>
                <w:szCs w:val="21"/>
              </w:rPr>
            </w:pPr>
            <w:bookmarkStart w:id="124" w:name="_Hlk314568313"/>
            <w:r>
              <w:rPr>
                <w:rFonts w:hint="eastAsia"/>
                <w:szCs w:val="21"/>
              </w:rPr>
              <w:t>527</w:t>
            </w:r>
          </w:p>
        </w:tc>
        <w:tc>
          <w:tcPr>
            <w:tcW w:w="1547" w:type="dxa"/>
            <w:vAlign w:val="center"/>
          </w:tcPr>
          <w:p>
            <w:pPr>
              <w:snapToGrid w:val="0"/>
              <w:jc w:val="center"/>
              <w:rPr>
                <w:rFonts w:hint="eastAsia"/>
                <w:szCs w:val="21"/>
              </w:rPr>
            </w:pPr>
            <w:r>
              <w:rPr>
                <w:rFonts w:hint="eastAsia"/>
                <w:szCs w:val="21"/>
              </w:rPr>
              <w:t>1844</w:t>
            </w:r>
          </w:p>
        </w:tc>
        <w:tc>
          <w:tcPr>
            <w:tcW w:w="2589" w:type="dxa"/>
            <w:vAlign w:val="center"/>
          </w:tcPr>
          <w:p>
            <w:pPr>
              <w:snapToGrid w:val="0"/>
              <w:jc w:val="center"/>
              <w:rPr>
                <w:rFonts w:hint="eastAsia"/>
                <w:szCs w:val="21"/>
              </w:rPr>
            </w:pPr>
            <w:r>
              <w:rPr>
                <w:rFonts w:hint="eastAsia"/>
                <w:szCs w:val="21"/>
              </w:rPr>
              <w:t>0.66</w:t>
            </w:r>
          </w:p>
        </w:tc>
        <w:tc>
          <w:tcPr>
            <w:tcW w:w="2398" w:type="dxa"/>
            <w:vAlign w:val="center"/>
          </w:tcPr>
          <w:p>
            <w:pPr>
              <w:snapToGrid w:val="0"/>
              <w:jc w:val="center"/>
              <w:rPr>
                <w:rFonts w:hint="eastAsia"/>
                <w:szCs w:val="21"/>
              </w:rPr>
            </w:pPr>
            <w:r>
              <w:rPr>
                <w:rFonts w:hint="eastAsia"/>
                <w:szCs w:val="21"/>
              </w:rPr>
              <w:t>0.41</w:t>
            </w:r>
          </w:p>
        </w:tc>
      </w:tr>
      <w:bookmarkEnd w:id="124"/>
    </w:tbl>
    <w:p>
      <w:pPr>
        <w:adjustRightInd w:val="0"/>
        <w:snapToGrid w:val="0"/>
        <w:jc w:val="center"/>
        <w:rPr>
          <w:rFonts w:hint="eastAsia"/>
          <w:b/>
        </w:rPr>
      </w:pPr>
    </w:p>
    <w:p>
      <w:pPr>
        <w:adjustRightInd w:val="0"/>
        <w:snapToGrid w:val="0"/>
        <w:jc w:val="center"/>
        <w:rPr>
          <w:rFonts w:hint="eastAsia"/>
          <w:b/>
        </w:rPr>
      </w:pPr>
      <w:r>
        <w:rPr>
          <w:rFonts w:hint="eastAsia"/>
          <w:b/>
        </w:rPr>
        <w:t>表2.6-4 废气污染物排放汇总表  单位：t/a</w:t>
      </w:r>
    </w:p>
    <w:tbl>
      <w:tblPr>
        <w:tblStyle w:val="59"/>
        <w:tblW w:w="85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5"/>
        <w:gridCol w:w="1705"/>
        <w:gridCol w:w="1706"/>
        <w:gridCol w:w="1706"/>
        <w:gridCol w:w="17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6" w:hRule="atLeast"/>
        </w:trPr>
        <w:tc>
          <w:tcPr>
            <w:tcW w:w="1705" w:type="dxa"/>
            <w:vAlign w:val="center"/>
          </w:tcPr>
          <w:p>
            <w:pPr>
              <w:snapToGrid w:val="0"/>
              <w:jc w:val="center"/>
              <w:rPr>
                <w:rFonts w:hint="eastAsia"/>
                <w:szCs w:val="21"/>
              </w:rPr>
            </w:pPr>
            <w:r>
              <w:rPr>
                <w:rFonts w:hint="eastAsia"/>
                <w:szCs w:val="21"/>
              </w:rPr>
              <w:t>类别</w:t>
            </w:r>
          </w:p>
        </w:tc>
        <w:tc>
          <w:tcPr>
            <w:tcW w:w="1705" w:type="dxa"/>
            <w:vAlign w:val="center"/>
          </w:tcPr>
          <w:p>
            <w:pPr>
              <w:snapToGrid w:val="0"/>
              <w:jc w:val="center"/>
              <w:rPr>
                <w:rFonts w:hint="eastAsia"/>
                <w:szCs w:val="21"/>
              </w:rPr>
            </w:pPr>
            <w:r>
              <w:rPr>
                <w:rFonts w:hint="eastAsia"/>
                <w:szCs w:val="21"/>
              </w:rPr>
              <w:t>污染物</w:t>
            </w:r>
          </w:p>
        </w:tc>
        <w:tc>
          <w:tcPr>
            <w:tcW w:w="1706" w:type="dxa"/>
            <w:vAlign w:val="center"/>
          </w:tcPr>
          <w:p>
            <w:pPr>
              <w:snapToGrid w:val="0"/>
              <w:jc w:val="center"/>
              <w:rPr>
                <w:szCs w:val="21"/>
              </w:rPr>
            </w:pPr>
            <w:r>
              <w:rPr>
                <w:szCs w:val="21"/>
              </w:rPr>
              <w:t>产生量</w:t>
            </w:r>
          </w:p>
        </w:tc>
        <w:tc>
          <w:tcPr>
            <w:tcW w:w="1706" w:type="dxa"/>
            <w:vAlign w:val="center"/>
          </w:tcPr>
          <w:p>
            <w:pPr>
              <w:snapToGrid w:val="0"/>
              <w:jc w:val="center"/>
              <w:rPr>
                <w:szCs w:val="21"/>
              </w:rPr>
            </w:pPr>
            <w:r>
              <w:rPr>
                <w:szCs w:val="21"/>
              </w:rPr>
              <w:t>消减量</w:t>
            </w:r>
          </w:p>
        </w:tc>
        <w:tc>
          <w:tcPr>
            <w:tcW w:w="1706" w:type="dxa"/>
            <w:vAlign w:val="center"/>
          </w:tcPr>
          <w:p>
            <w:pPr>
              <w:snapToGrid w:val="0"/>
              <w:jc w:val="center"/>
              <w:rPr>
                <w:szCs w:val="21"/>
              </w:rPr>
            </w:pPr>
            <w:r>
              <w:rPr>
                <w:szCs w:val="21"/>
              </w:rPr>
              <w:t>排放量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7" w:hRule="atLeast"/>
        </w:trPr>
        <w:tc>
          <w:tcPr>
            <w:tcW w:w="1705" w:type="dxa"/>
            <w:vMerge w:val="restart"/>
            <w:vAlign w:val="center"/>
          </w:tcPr>
          <w:p>
            <w:pPr>
              <w:snapToGrid w:val="0"/>
              <w:jc w:val="center"/>
              <w:rPr>
                <w:rFonts w:hint="eastAsia"/>
                <w:szCs w:val="21"/>
              </w:rPr>
            </w:pPr>
            <w:r>
              <w:rPr>
                <w:rFonts w:hint="eastAsia"/>
                <w:szCs w:val="21"/>
              </w:rPr>
              <w:t>无组织</w:t>
            </w:r>
          </w:p>
        </w:tc>
        <w:tc>
          <w:tcPr>
            <w:tcW w:w="1705" w:type="dxa"/>
            <w:vAlign w:val="center"/>
          </w:tcPr>
          <w:p>
            <w:pPr>
              <w:snapToGrid w:val="0"/>
              <w:jc w:val="center"/>
              <w:rPr>
                <w:rFonts w:hint="eastAsia"/>
                <w:szCs w:val="21"/>
              </w:rPr>
            </w:pPr>
            <w:r>
              <w:rPr>
                <w:rFonts w:hint="eastAsia"/>
                <w:szCs w:val="21"/>
              </w:rPr>
              <w:t>CO</w:t>
            </w:r>
          </w:p>
        </w:tc>
        <w:tc>
          <w:tcPr>
            <w:tcW w:w="1706" w:type="dxa"/>
            <w:vAlign w:val="center"/>
          </w:tcPr>
          <w:p>
            <w:pPr>
              <w:snapToGrid w:val="0"/>
              <w:jc w:val="center"/>
              <w:rPr>
                <w:szCs w:val="21"/>
              </w:rPr>
            </w:pPr>
            <w:r>
              <w:rPr>
                <w:rFonts w:hint="eastAsia"/>
                <w:szCs w:val="21"/>
              </w:rPr>
              <w:t>0.66</w:t>
            </w:r>
          </w:p>
        </w:tc>
        <w:tc>
          <w:tcPr>
            <w:tcW w:w="1706" w:type="dxa"/>
            <w:vAlign w:val="center"/>
          </w:tcPr>
          <w:p>
            <w:pPr>
              <w:snapToGrid w:val="0"/>
              <w:jc w:val="center"/>
              <w:rPr>
                <w:rFonts w:hint="eastAsia"/>
                <w:szCs w:val="21"/>
              </w:rPr>
            </w:pPr>
            <w:r>
              <w:rPr>
                <w:rFonts w:hint="eastAsia"/>
                <w:szCs w:val="21"/>
              </w:rPr>
              <w:t>0</w:t>
            </w:r>
          </w:p>
        </w:tc>
        <w:tc>
          <w:tcPr>
            <w:tcW w:w="1706" w:type="dxa"/>
            <w:vAlign w:val="center"/>
          </w:tcPr>
          <w:p>
            <w:pPr>
              <w:snapToGrid w:val="0"/>
              <w:jc w:val="center"/>
              <w:rPr>
                <w:szCs w:val="21"/>
              </w:rPr>
            </w:pPr>
            <w:r>
              <w:rPr>
                <w:rFonts w:hint="eastAsia"/>
                <w:szCs w:val="21"/>
              </w:rPr>
              <w:t>0.66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5" w:hRule="atLeast"/>
        </w:trPr>
        <w:tc>
          <w:tcPr>
            <w:tcW w:w="1705" w:type="dxa"/>
            <w:vMerge w:val="continue"/>
            <w:vAlign w:val="center"/>
          </w:tcPr>
          <w:p>
            <w:pPr>
              <w:snapToGrid w:val="0"/>
              <w:jc w:val="center"/>
              <w:rPr>
                <w:rFonts w:hint="eastAsia"/>
                <w:szCs w:val="21"/>
              </w:rPr>
            </w:pPr>
          </w:p>
        </w:tc>
        <w:tc>
          <w:tcPr>
            <w:tcW w:w="1705" w:type="dxa"/>
            <w:vAlign w:val="center"/>
          </w:tcPr>
          <w:p>
            <w:pPr>
              <w:snapToGrid w:val="0"/>
              <w:jc w:val="center"/>
              <w:rPr>
                <w:rFonts w:hint="eastAsia"/>
                <w:szCs w:val="21"/>
              </w:rPr>
            </w:pPr>
            <w:r>
              <w:rPr>
                <w:rFonts w:hint="eastAsia"/>
                <w:szCs w:val="21"/>
              </w:rPr>
              <w:t>NO</w:t>
            </w:r>
            <w:r>
              <w:rPr>
                <w:rFonts w:hint="eastAsia"/>
                <w:szCs w:val="21"/>
                <w:vertAlign w:val="subscript"/>
              </w:rPr>
              <w:t>X</w:t>
            </w:r>
          </w:p>
        </w:tc>
        <w:tc>
          <w:tcPr>
            <w:tcW w:w="1706" w:type="dxa"/>
            <w:vAlign w:val="center"/>
          </w:tcPr>
          <w:p>
            <w:pPr>
              <w:snapToGrid w:val="0"/>
              <w:jc w:val="center"/>
              <w:rPr>
                <w:szCs w:val="21"/>
              </w:rPr>
            </w:pPr>
            <w:r>
              <w:rPr>
                <w:rFonts w:hint="eastAsia"/>
                <w:szCs w:val="21"/>
              </w:rPr>
              <w:t>0.41</w:t>
            </w:r>
          </w:p>
        </w:tc>
        <w:tc>
          <w:tcPr>
            <w:tcW w:w="1706" w:type="dxa"/>
            <w:vAlign w:val="center"/>
          </w:tcPr>
          <w:p>
            <w:pPr>
              <w:snapToGrid w:val="0"/>
              <w:jc w:val="center"/>
              <w:rPr>
                <w:rFonts w:hint="eastAsia"/>
                <w:szCs w:val="21"/>
              </w:rPr>
            </w:pPr>
            <w:r>
              <w:rPr>
                <w:rFonts w:hint="eastAsia"/>
                <w:szCs w:val="21"/>
              </w:rPr>
              <w:t>0</w:t>
            </w:r>
          </w:p>
        </w:tc>
        <w:tc>
          <w:tcPr>
            <w:tcW w:w="1706" w:type="dxa"/>
            <w:vAlign w:val="center"/>
          </w:tcPr>
          <w:p>
            <w:pPr>
              <w:snapToGrid w:val="0"/>
              <w:jc w:val="center"/>
              <w:rPr>
                <w:szCs w:val="21"/>
              </w:rPr>
            </w:pPr>
            <w:r>
              <w:rPr>
                <w:rFonts w:hint="eastAsia"/>
                <w:szCs w:val="21"/>
              </w:rPr>
              <w:t>0.41</w:t>
            </w:r>
          </w:p>
        </w:tc>
      </w:tr>
    </w:tbl>
    <w:p>
      <w:pPr>
        <w:adjustRightInd w:val="0"/>
        <w:snapToGrid w:val="0"/>
        <w:spacing w:line="360" w:lineRule="auto"/>
        <w:jc w:val="center"/>
        <w:rPr>
          <w:rFonts w:hint="eastAsia"/>
          <w:b/>
          <w:sz w:val="24"/>
        </w:rPr>
      </w:pPr>
    </w:p>
    <w:p>
      <w:pPr>
        <w:pStyle w:val="4"/>
        <w:adjustRightInd w:val="0"/>
        <w:snapToGrid w:val="0"/>
        <w:spacing w:before="0" w:after="0" w:line="360" w:lineRule="auto"/>
        <w:rPr>
          <w:bCs w:val="0"/>
          <w:sz w:val="24"/>
          <w:szCs w:val="24"/>
        </w:rPr>
      </w:pPr>
      <w:bookmarkStart w:id="125" w:name="_Toc435690416"/>
      <w:r>
        <w:rPr>
          <w:rFonts w:hint="eastAsia"/>
          <w:bCs w:val="0"/>
          <w:sz w:val="24"/>
          <w:szCs w:val="24"/>
        </w:rPr>
        <w:t>2.6.3</w:t>
      </w:r>
      <w:r>
        <w:rPr>
          <w:bCs w:val="0"/>
          <w:sz w:val="24"/>
          <w:szCs w:val="24"/>
        </w:rPr>
        <w:t>固体废弃物</w:t>
      </w:r>
      <w:bookmarkEnd w:id="125"/>
    </w:p>
    <w:p>
      <w:pPr>
        <w:spacing w:line="360" w:lineRule="auto"/>
        <w:ind w:firstLine="480" w:firstLineChars="200"/>
        <w:rPr>
          <w:sz w:val="24"/>
        </w:rPr>
      </w:pPr>
      <w:r>
        <w:rPr>
          <w:sz w:val="24"/>
        </w:rPr>
        <w:t>本项目固体废物主要有</w:t>
      </w:r>
      <w:r>
        <w:rPr>
          <w:rFonts w:hint="eastAsia"/>
          <w:sz w:val="24"/>
        </w:rPr>
        <w:t>废包装</w:t>
      </w:r>
      <w:r>
        <w:rPr>
          <w:sz w:val="24"/>
        </w:rPr>
        <w:t>、员工的生活垃圾</w:t>
      </w:r>
      <w:r>
        <w:rPr>
          <w:rFonts w:hint="eastAsia"/>
          <w:sz w:val="24"/>
        </w:rPr>
        <w:t>、办公垃圾、废机油</w:t>
      </w:r>
      <w:r>
        <w:rPr>
          <w:sz w:val="24"/>
        </w:rPr>
        <w:t>等。</w:t>
      </w:r>
    </w:p>
    <w:p>
      <w:pPr>
        <w:spacing w:line="360" w:lineRule="auto"/>
        <w:ind w:firstLine="480" w:firstLineChars="200"/>
        <w:rPr>
          <w:bCs/>
          <w:sz w:val="24"/>
        </w:rPr>
      </w:pPr>
      <w:r>
        <w:rPr>
          <w:bCs/>
          <w:sz w:val="24"/>
        </w:rPr>
        <w:t>（1）</w:t>
      </w:r>
      <w:r>
        <w:rPr>
          <w:rFonts w:hint="eastAsia"/>
          <w:bCs/>
          <w:sz w:val="24"/>
        </w:rPr>
        <w:t>废包装</w:t>
      </w:r>
      <w:r>
        <w:rPr>
          <w:bCs/>
          <w:sz w:val="24"/>
        </w:rPr>
        <w:t>：</w:t>
      </w:r>
      <w:r>
        <w:rPr>
          <w:rFonts w:hint="eastAsia"/>
          <w:bCs/>
          <w:sz w:val="24"/>
        </w:rPr>
        <w:t>主要是商品在分包过程中产生的废包装物，主要成分为纸壳、塑料等，</w:t>
      </w:r>
      <w:r>
        <w:rPr>
          <w:bCs/>
          <w:sz w:val="24"/>
        </w:rPr>
        <w:t>产生</w:t>
      </w:r>
      <w:r>
        <w:rPr>
          <w:rFonts w:hint="eastAsia"/>
          <w:bCs/>
          <w:sz w:val="24"/>
        </w:rPr>
        <w:t>量</w:t>
      </w:r>
      <w:r>
        <w:rPr>
          <w:bCs/>
          <w:sz w:val="24"/>
        </w:rPr>
        <w:t>约</w:t>
      </w:r>
      <w:r>
        <w:rPr>
          <w:rFonts w:hint="eastAsia"/>
          <w:bCs/>
          <w:sz w:val="24"/>
        </w:rPr>
        <w:t>35.8</w:t>
      </w:r>
      <w:r>
        <w:rPr>
          <w:bCs/>
          <w:sz w:val="24"/>
        </w:rPr>
        <w:t>t/a，经收集后外售。</w:t>
      </w:r>
    </w:p>
    <w:p>
      <w:pPr>
        <w:spacing w:line="360" w:lineRule="auto"/>
        <w:ind w:firstLine="480" w:firstLineChars="200"/>
        <w:rPr>
          <w:rFonts w:hint="eastAsia"/>
          <w:bCs/>
          <w:sz w:val="24"/>
        </w:rPr>
      </w:pPr>
      <w:r>
        <w:rPr>
          <w:bCs/>
          <w:sz w:val="24"/>
        </w:rPr>
        <w:t>（2）</w:t>
      </w:r>
      <w:r>
        <w:rPr>
          <w:rFonts w:hint="eastAsia"/>
          <w:bCs/>
          <w:sz w:val="24"/>
        </w:rPr>
        <w:t>生活垃圾：</w:t>
      </w:r>
      <w:r>
        <w:rPr>
          <w:bCs/>
          <w:sz w:val="24"/>
        </w:rPr>
        <w:t>本项目定员</w:t>
      </w:r>
      <w:r>
        <w:rPr>
          <w:rFonts w:hint="eastAsia"/>
          <w:bCs/>
          <w:sz w:val="24"/>
        </w:rPr>
        <w:t>14</w:t>
      </w:r>
      <w:r>
        <w:rPr>
          <w:bCs/>
          <w:sz w:val="24"/>
        </w:rPr>
        <w:t>00人，生活垃圾的产生量按0.</w:t>
      </w:r>
      <w:r>
        <w:rPr>
          <w:rFonts w:hint="eastAsia"/>
          <w:bCs/>
          <w:sz w:val="24"/>
        </w:rPr>
        <w:t>3</w:t>
      </w:r>
      <w:r>
        <w:rPr>
          <w:bCs/>
          <w:sz w:val="24"/>
        </w:rPr>
        <w:t>kg/人·日计</w:t>
      </w:r>
      <w:r>
        <w:rPr>
          <w:bCs/>
          <w:sz w:val="24"/>
          <w:szCs w:val="21"/>
        </w:rPr>
        <w:t>（</w:t>
      </w:r>
      <w:r>
        <w:rPr>
          <w:rFonts w:hint="eastAsia"/>
          <w:bCs/>
          <w:sz w:val="24"/>
          <w:szCs w:val="21"/>
        </w:rPr>
        <w:t>物流配送人员</w:t>
      </w:r>
      <w:r>
        <w:rPr>
          <w:bCs/>
          <w:sz w:val="24"/>
          <w:szCs w:val="21"/>
        </w:rPr>
        <w:t>一年按</w:t>
      </w:r>
      <w:r>
        <w:rPr>
          <w:rFonts w:hint="eastAsia"/>
          <w:bCs/>
          <w:sz w:val="24"/>
          <w:szCs w:val="21"/>
        </w:rPr>
        <w:t>365</w:t>
      </w:r>
      <w:r>
        <w:rPr>
          <w:bCs/>
          <w:sz w:val="24"/>
          <w:szCs w:val="21"/>
        </w:rPr>
        <w:t>天计</w:t>
      </w:r>
      <w:r>
        <w:rPr>
          <w:rFonts w:hint="eastAsia"/>
          <w:bCs/>
          <w:sz w:val="24"/>
          <w:szCs w:val="21"/>
        </w:rPr>
        <w:t>，研发办公人员按250天计</w:t>
      </w:r>
      <w:r>
        <w:rPr>
          <w:bCs/>
          <w:sz w:val="24"/>
          <w:szCs w:val="21"/>
        </w:rPr>
        <w:t>）</w:t>
      </w:r>
      <w:r>
        <w:rPr>
          <w:bCs/>
          <w:sz w:val="24"/>
        </w:rPr>
        <w:t>，产生量为</w:t>
      </w:r>
      <w:r>
        <w:rPr>
          <w:rFonts w:hint="eastAsia"/>
          <w:bCs/>
          <w:sz w:val="24"/>
        </w:rPr>
        <w:t>125.7</w:t>
      </w:r>
      <w:r>
        <w:rPr>
          <w:bCs/>
          <w:sz w:val="24"/>
        </w:rPr>
        <w:t>t/a。</w:t>
      </w:r>
    </w:p>
    <w:p>
      <w:pPr>
        <w:spacing w:line="360" w:lineRule="auto"/>
        <w:ind w:firstLine="480" w:firstLineChars="200"/>
        <w:rPr>
          <w:rFonts w:hint="eastAsia"/>
          <w:bCs/>
          <w:sz w:val="24"/>
        </w:rPr>
      </w:pPr>
      <w:r>
        <w:rPr>
          <w:rFonts w:hint="eastAsia"/>
          <w:bCs/>
          <w:sz w:val="24"/>
        </w:rPr>
        <w:t>（3）办公垃圾：建设项目办公将产生废光盘、废纸等办公垃圾，根据企业初步估计平均产生量约</w:t>
      </w:r>
      <w:r>
        <w:rPr>
          <w:bCs/>
          <w:sz w:val="24"/>
        </w:rPr>
        <w:t>0.</w:t>
      </w:r>
      <w:r>
        <w:rPr>
          <w:rFonts w:hint="eastAsia"/>
          <w:bCs/>
          <w:sz w:val="24"/>
        </w:rPr>
        <w:t>1</w:t>
      </w:r>
      <w:r>
        <w:rPr>
          <w:bCs/>
          <w:sz w:val="24"/>
        </w:rPr>
        <w:t>5t/a</w:t>
      </w:r>
      <w:r>
        <w:rPr>
          <w:rFonts w:hint="eastAsia"/>
          <w:bCs/>
          <w:sz w:val="24"/>
        </w:rPr>
        <w:t>，将由供应商回收或外售利用。</w:t>
      </w:r>
    </w:p>
    <w:p>
      <w:pPr>
        <w:adjustRightInd w:val="0"/>
        <w:snapToGrid w:val="0"/>
        <w:spacing w:line="360" w:lineRule="auto"/>
        <w:ind w:firstLine="480" w:firstLineChars="200"/>
        <w:rPr>
          <w:sz w:val="24"/>
        </w:rPr>
      </w:pPr>
      <w:r>
        <w:rPr>
          <w:rFonts w:hint="eastAsia"/>
          <w:bCs/>
          <w:sz w:val="24"/>
        </w:rPr>
        <w:t>（4）本项目设有维修办公室和备机仓库，维修保养会产生少量废机油0.8t/a，集中收集至项目东侧苏宁物流中心项目，统一委托南京市孝武润滑油添加剂经营部处理。</w:t>
      </w:r>
      <w:r>
        <w:rPr>
          <w:sz w:val="24"/>
        </w:rPr>
        <w:t>项目固废产生及处置情况见表</w:t>
      </w:r>
      <w:r>
        <w:rPr>
          <w:rFonts w:hint="eastAsia"/>
          <w:sz w:val="24"/>
        </w:rPr>
        <w:t>2.6-5</w:t>
      </w:r>
      <w:r>
        <w:rPr>
          <w:sz w:val="24"/>
        </w:rPr>
        <w:t>。</w:t>
      </w:r>
    </w:p>
    <w:p>
      <w:pPr>
        <w:adjustRightInd w:val="0"/>
        <w:snapToGrid w:val="0"/>
        <w:jc w:val="center"/>
        <w:rPr>
          <w:rFonts w:hint="eastAsia"/>
          <w:b/>
        </w:rPr>
      </w:pPr>
      <w:r>
        <w:rPr>
          <w:b/>
        </w:rPr>
        <w:t>表</w:t>
      </w:r>
      <w:r>
        <w:rPr>
          <w:rFonts w:hint="eastAsia"/>
          <w:b/>
        </w:rPr>
        <w:t>2.6-5</w:t>
      </w:r>
      <w:r>
        <w:rPr>
          <w:b/>
        </w:rPr>
        <w:t xml:space="preserve">  项目固体废弃物产生情况</w:t>
      </w:r>
    </w:p>
    <w:tbl>
      <w:tblPr>
        <w:tblStyle w:val="59"/>
        <w:tblW w:w="85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7"/>
        <w:gridCol w:w="867"/>
        <w:gridCol w:w="975"/>
        <w:gridCol w:w="970"/>
        <w:gridCol w:w="708"/>
        <w:gridCol w:w="708"/>
        <w:gridCol w:w="706"/>
        <w:gridCol w:w="458"/>
        <w:gridCol w:w="750"/>
        <w:gridCol w:w="1150"/>
        <w:gridCol w:w="8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7" w:type="dxa"/>
            <w:shd w:val="clear" w:color="auto" w:fill="auto"/>
            <w:vAlign w:val="center"/>
          </w:tcPr>
          <w:p>
            <w:pPr>
              <w:spacing w:line="280" w:lineRule="exact"/>
              <w:jc w:val="center"/>
              <w:rPr>
                <w:b/>
                <w:sz w:val="20"/>
                <w:szCs w:val="21"/>
              </w:rPr>
            </w:pPr>
            <w:r>
              <w:rPr>
                <w:b/>
                <w:sz w:val="20"/>
                <w:szCs w:val="21"/>
              </w:rPr>
              <w:t>序号</w:t>
            </w:r>
          </w:p>
        </w:tc>
        <w:tc>
          <w:tcPr>
            <w:tcW w:w="867" w:type="dxa"/>
            <w:shd w:val="clear" w:color="auto" w:fill="auto"/>
            <w:vAlign w:val="center"/>
          </w:tcPr>
          <w:p>
            <w:pPr>
              <w:spacing w:line="280" w:lineRule="exact"/>
              <w:jc w:val="center"/>
              <w:rPr>
                <w:b/>
                <w:sz w:val="20"/>
                <w:szCs w:val="21"/>
              </w:rPr>
            </w:pPr>
            <w:r>
              <w:rPr>
                <w:b/>
                <w:sz w:val="20"/>
                <w:szCs w:val="21"/>
              </w:rPr>
              <w:t>固废名称</w:t>
            </w:r>
          </w:p>
        </w:tc>
        <w:tc>
          <w:tcPr>
            <w:tcW w:w="975" w:type="dxa"/>
            <w:shd w:val="clear" w:color="auto" w:fill="auto"/>
            <w:vAlign w:val="center"/>
          </w:tcPr>
          <w:p>
            <w:pPr>
              <w:spacing w:line="280" w:lineRule="exact"/>
              <w:jc w:val="center"/>
              <w:rPr>
                <w:b/>
                <w:sz w:val="20"/>
                <w:szCs w:val="21"/>
              </w:rPr>
            </w:pPr>
            <w:r>
              <w:rPr>
                <w:b/>
                <w:sz w:val="20"/>
                <w:szCs w:val="21"/>
              </w:rPr>
              <w:t>属性（危险废物、一般工业固体废物或待鉴别）</w:t>
            </w:r>
          </w:p>
        </w:tc>
        <w:tc>
          <w:tcPr>
            <w:tcW w:w="970" w:type="dxa"/>
            <w:shd w:val="clear" w:color="auto" w:fill="auto"/>
            <w:vAlign w:val="center"/>
          </w:tcPr>
          <w:p>
            <w:pPr>
              <w:spacing w:line="280" w:lineRule="exact"/>
              <w:jc w:val="center"/>
              <w:rPr>
                <w:b/>
                <w:sz w:val="20"/>
                <w:szCs w:val="21"/>
              </w:rPr>
            </w:pPr>
            <w:r>
              <w:rPr>
                <w:b/>
                <w:sz w:val="20"/>
                <w:szCs w:val="21"/>
              </w:rPr>
              <w:t>产生工序</w:t>
            </w:r>
          </w:p>
        </w:tc>
        <w:tc>
          <w:tcPr>
            <w:tcW w:w="708" w:type="dxa"/>
            <w:shd w:val="clear" w:color="auto" w:fill="auto"/>
            <w:vAlign w:val="center"/>
          </w:tcPr>
          <w:p>
            <w:pPr>
              <w:spacing w:line="280" w:lineRule="exact"/>
              <w:jc w:val="center"/>
              <w:rPr>
                <w:b/>
                <w:sz w:val="20"/>
                <w:szCs w:val="21"/>
              </w:rPr>
            </w:pPr>
            <w:r>
              <w:rPr>
                <w:b/>
                <w:sz w:val="20"/>
                <w:szCs w:val="21"/>
              </w:rPr>
              <w:t>形态</w:t>
            </w:r>
          </w:p>
        </w:tc>
        <w:tc>
          <w:tcPr>
            <w:tcW w:w="708" w:type="dxa"/>
            <w:shd w:val="clear" w:color="auto" w:fill="auto"/>
            <w:vAlign w:val="center"/>
          </w:tcPr>
          <w:p>
            <w:pPr>
              <w:spacing w:line="280" w:lineRule="exact"/>
              <w:jc w:val="center"/>
              <w:rPr>
                <w:rFonts w:hint="eastAsia"/>
                <w:b/>
                <w:sz w:val="20"/>
                <w:szCs w:val="21"/>
              </w:rPr>
            </w:pPr>
            <w:r>
              <w:rPr>
                <w:b/>
                <w:sz w:val="20"/>
                <w:szCs w:val="21"/>
              </w:rPr>
              <w:t>主要</w:t>
            </w:r>
          </w:p>
          <w:p>
            <w:pPr>
              <w:spacing w:line="280" w:lineRule="exact"/>
              <w:jc w:val="center"/>
              <w:rPr>
                <w:b/>
                <w:sz w:val="20"/>
                <w:szCs w:val="21"/>
              </w:rPr>
            </w:pPr>
            <w:r>
              <w:rPr>
                <w:b/>
                <w:sz w:val="20"/>
                <w:szCs w:val="21"/>
              </w:rPr>
              <w:t>成分</w:t>
            </w:r>
          </w:p>
        </w:tc>
        <w:tc>
          <w:tcPr>
            <w:tcW w:w="706" w:type="dxa"/>
            <w:shd w:val="clear" w:color="auto" w:fill="auto"/>
            <w:vAlign w:val="center"/>
          </w:tcPr>
          <w:p>
            <w:pPr>
              <w:spacing w:line="280" w:lineRule="exact"/>
              <w:jc w:val="center"/>
              <w:rPr>
                <w:b/>
                <w:sz w:val="20"/>
                <w:szCs w:val="21"/>
              </w:rPr>
            </w:pPr>
            <w:r>
              <w:rPr>
                <w:b/>
                <w:sz w:val="20"/>
                <w:szCs w:val="21"/>
              </w:rPr>
              <w:t>危险特性鉴别方法</w:t>
            </w:r>
          </w:p>
        </w:tc>
        <w:tc>
          <w:tcPr>
            <w:tcW w:w="458" w:type="dxa"/>
            <w:shd w:val="clear" w:color="auto" w:fill="auto"/>
            <w:vAlign w:val="center"/>
          </w:tcPr>
          <w:p>
            <w:pPr>
              <w:spacing w:line="280" w:lineRule="exact"/>
              <w:jc w:val="center"/>
              <w:rPr>
                <w:b/>
                <w:sz w:val="20"/>
                <w:szCs w:val="21"/>
              </w:rPr>
            </w:pPr>
            <w:r>
              <w:rPr>
                <w:b/>
                <w:sz w:val="20"/>
                <w:szCs w:val="21"/>
              </w:rPr>
              <w:t>危险特性</w:t>
            </w:r>
          </w:p>
        </w:tc>
        <w:tc>
          <w:tcPr>
            <w:tcW w:w="750" w:type="dxa"/>
            <w:shd w:val="clear" w:color="auto" w:fill="auto"/>
            <w:vAlign w:val="center"/>
          </w:tcPr>
          <w:p>
            <w:pPr>
              <w:spacing w:line="280" w:lineRule="exact"/>
              <w:jc w:val="center"/>
            </w:pPr>
            <w:r>
              <w:rPr>
                <w:b/>
                <w:sz w:val="20"/>
                <w:szCs w:val="21"/>
              </w:rPr>
              <w:t>废物类别</w:t>
            </w:r>
          </w:p>
        </w:tc>
        <w:tc>
          <w:tcPr>
            <w:tcW w:w="1150" w:type="dxa"/>
            <w:shd w:val="clear" w:color="auto" w:fill="auto"/>
            <w:vAlign w:val="center"/>
          </w:tcPr>
          <w:p>
            <w:pPr>
              <w:spacing w:line="280" w:lineRule="exact"/>
              <w:jc w:val="center"/>
              <w:rPr>
                <w:b/>
                <w:sz w:val="20"/>
                <w:szCs w:val="21"/>
              </w:rPr>
            </w:pPr>
            <w:r>
              <w:rPr>
                <w:b/>
                <w:sz w:val="20"/>
                <w:szCs w:val="21"/>
              </w:rPr>
              <w:t>废物</w:t>
            </w:r>
          </w:p>
          <w:p>
            <w:pPr>
              <w:spacing w:line="280" w:lineRule="exact"/>
              <w:jc w:val="center"/>
              <w:rPr>
                <w:b/>
                <w:sz w:val="20"/>
                <w:szCs w:val="21"/>
              </w:rPr>
            </w:pPr>
            <w:r>
              <w:rPr>
                <w:b/>
                <w:sz w:val="20"/>
                <w:szCs w:val="21"/>
              </w:rPr>
              <w:t>代码</w:t>
            </w:r>
          </w:p>
        </w:tc>
        <w:tc>
          <w:tcPr>
            <w:tcW w:w="819" w:type="dxa"/>
            <w:shd w:val="clear" w:color="auto" w:fill="auto"/>
            <w:vAlign w:val="center"/>
          </w:tcPr>
          <w:p>
            <w:pPr>
              <w:spacing w:line="280" w:lineRule="exact"/>
              <w:jc w:val="center"/>
              <w:rPr>
                <w:b/>
                <w:sz w:val="20"/>
                <w:szCs w:val="21"/>
              </w:rPr>
            </w:pPr>
            <w:r>
              <w:rPr>
                <w:b/>
                <w:sz w:val="20"/>
                <w:szCs w:val="21"/>
              </w:rPr>
              <w:t>估算产生量（吨）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8" w:hRule="atLeast"/>
        </w:trPr>
        <w:tc>
          <w:tcPr>
            <w:tcW w:w="417" w:type="dxa"/>
            <w:shd w:val="clear" w:color="auto" w:fill="auto"/>
            <w:vAlign w:val="center"/>
          </w:tcPr>
          <w:p>
            <w:pPr>
              <w:spacing w:line="280" w:lineRule="exact"/>
              <w:jc w:val="center"/>
              <w:rPr>
                <w:sz w:val="20"/>
                <w:szCs w:val="21"/>
              </w:rPr>
            </w:pPr>
            <w:r>
              <w:rPr>
                <w:sz w:val="20"/>
                <w:szCs w:val="21"/>
              </w:rPr>
              <w:t>1</w:t>
            </w:r>
          </w:p>
        </w:tc>
        <w:tc>
          <w:tcPr>
            <w:tcW w:w="867" w:type="dxa"/>
            <w:shd w:val="clear" w:color="auto" w:fill="auto"/>
            <w:vAlign w:val="center"/>
          </w:tcPr>
          <w:p>
            <w:pPr>
              <w:spacing w:line="280" w:lineRule="exact"/>
              <w:jc w:val="center"/>
              <w:rPr>
                <w:sz w:val="20"/>
                <w:szCs w:val="21"/>
              </w:rPr>
            </w:pPr>
            <w:r>
              <w:rPr>
                <w:sz w:val="20"/>
                <w:szCs w:val="21"/>
              </w:rPr>
              <w:t>废</w:t>
            </w:r>
            <w:r>
              <w:rPr>
                <w:rFonts w:hint="eastAsia"/>
                <w:sz w:val="20"/>
                <w:szCs w:val="21"/>
              </w:rPr>
              <w:t>包装</w:t>
            </w:r>
          </w:p>
        </w:tc>
        <w:tc>
          <w:tcPr>
            <w:tcW w:w="975" w:type="dxa"/>
            <w:shd w:val="clear" w:color="auto" w:fill="auto"/>
            <w:vAlign w:val="center"/>
          </w:tcPr>
          <w:p>
            <w:pPr>
              <w:spacing w:line="280" w:lineRule="exact"/>
              <w:jc w:val="center"/>
              <w:rPr>
                <w:sz w:val="20"/>
                <w:szCs w:val="21"/>
              </w:rPr>
            </w:pPr>
            <w:r>
              <w:rPr>
                <w:sz w:val="20"/>
                <w:szCs w:val="21"/>
              </w:rPr>
              <w:t>一般固废</w:t>
            </w:r>
          </w:p>
        </w:tc>
        <w:tc>
          <w:tcPr>
            <w:tcW w:w="970" w:type="dxa"/>
            <w:shd w:val="clear" w:color="auto" w:fill="auto"/>
            <w:vAlign w:val="center"/>
          </w:tcPr>
          <w:p>
            <w:pPr>
              <w:spacing w:line="280" w:lineRule="exact"/>
              <w:jc w:val="center"/>
              <w:rPr>
                <w:sz w:val="20"/>
                <w:szCs w:val="21"/>
              </w:rPr>
            </w:pPr>
            <w:r>
              <w:rPr>
                <w:rFonts w:hint="eastAsia"/>
                <w:sz w:val="20"/>
                <w:szCs w:val="21"/>
              </w:rPr>
              <w:t>分包</w:t>
            </w:r>
          </w:p>
        </w:tc>
        <w:tc>
          <w:tcPr>
            <w:tcW w:w="708" w:type="dxa"/>
            <w:shd w:val="clear" w:color="auto" w:fill="auto"/>
            <w:vAlign w:val="center"/>
          </w:tcPr>
          <w:p>
            <w:pPr>
              <w:spacing w:line="280" w:lineRule="exact"/>
              <w:jc w:val="center"/>
              <w:rPr>
                <w:sz w:val="20"/>
                <w:szCs w:val="21"/>
              </w:rPr>
            </w:pPr>
            <w:r>
              <w:rPr>
                <w:sz w:val="20"/>
                <w:szCs w:val="21"/>
              </w:rPr>
              <w:t>固体</w:t>
            </w:r>
          </w:p>
        </w:tc>
        <w:tc>
          <w:tcPr>
            <w:tcW w:w="708" w:type="dxa"/>
            <w:shd w:val="clear" w:color="auto" w:fill="auto"/>
            <w:vAlign w:val="center"/>
          </w:tcPr>
          <w:p>
            <w:pPr>
              <w:spacing w:line="280" w:lineRule="exact"/>
              <w:jc w:val="center"/>
              <w:rPr>
                <w:sz w:val="20"/>
                <w:szCs w:val="21"/>
              </w:rPr>
            </w:pPr>
            <w:r>
              <w:rPr>
                <w:rFonts w:hint="eastAsia"/>
                <w:sz w:val="20"/>
                <w:szCs w:val="21"/>
              </w:rPr>
              <w:t>纸壳、塑料</w:t>
            </w:r>
          </w:p>
        </w:tc>
        <w:tc>
          <w:tcPr>
            <w:tcW w:w="706" w:type="dxa"/>
            <w:shd w:val="clear" w:color="auto" w:fill="auto"/>
            <w:vAlign w:val="center"/>
          </w:tcPr>
          <w:p>
            <w:pPr>
              <w:spacing w:line="280" w:lineRule="exact"/>
              <w:jc w:val="center"/>
              <w:rPr>
                <w:sz w:val="20"/>
                <w:szCs w:val="21"/>
              </w:rPr>
            </w:pPr>
            <w:r>
              <w:rPr>
                <w:sz w:val="20"/>
                <w:szCs w:val="21"/>
              </w:rPr>
              <w:t>/</w:t>
            </w:r>
          </w:p>
        </w:tc>
        <w:tc>
          <w:tcPr>
            <w:tcW w:w="458" w:type="dxa"/>
            <w:shd w:val="clear" w:color="auto" w:fill="auto"/>
            <w:vAlign w:val="center"/>
          </w:tcPr>
          <w:p>
            <w:pPr>
              <w:spacing w:line="280" w:lineRule="exact"/>
              <w:jc w:val="center"/>
              <w:rPr>
                <w:sz w:val="20"/>
                <w:szCs w:val="21"/>
              </w:rPr>
            </w:pPr>
            <w:r>
              <w:rPr>
                <w:sz w:val="20"/>
                <w:szCs w:val="21"/>
              </w:rPr>
              <w:t>/</w:t>
            </w:r>
          </w:p>
        </w:tc>
        <w:tc>
          <w:tcPr>
            <w:tcW w:w="750" w:type="dxa"/>
            <w:shd w:val="clear" w:color="auto" w:fill="auto"/>
            <w:vAlign w:val="center"/>
          </w:tcPr>
          <w:p>
            <w:pPr>
              <w:spacing w:line="280" w:lineRule="exact"/>
              <w:jc w:val="center"/>
              <w:rPr>
                <w:sz w:val="20"/>
                <w:szCs w:val="21"/>
              </w:rPr>
            </w:pPr>
            <w:r>
              <w:rPr>
                <w:sz w:val="20"/>
                <w:szCs w:val="21"/>
              </w:rPr>
              <w:t>/</w:t>
            </w:r>
          </w:p>
        </w:tc>
        <w:tc>
          <w:tcPr>
            <w:tcW w:w="1150" w:type="dxa"/>
            <w:shd w:val="clear" w:color="auto" w:fill="auto"/>
            <w:vAlign w:val="center"/>
          </w:tcPr>
          <w:p>
            <w:pPr>
              <w:spacing w:line="280" w:lineRule="exact"/>
              <w:jc w:val="center"/>
              <w:rPr>
                <w:sz w:val="20"/>
                <w:szCs w:val="21"/>
              </w:rPr>
            </w:pPr>
            <w:r>
              <w:rPr>
                <w:sz w:val="20"/>
                <w:szCs w:val="21"/>
              </w:rPr>
              <w:t>/</w:t>
            </w:r>
          </w:p>
        </w:tc>
        <w:tc>
          <w:tcPr>
            <w:tcW w:w="819" w:type="dxa"/>
            <w:shd w:val="clear" w:color="auto" w:fill="auto"/>
            <w:vAlign w:val="center"/>
          </w:tcPr>
          <w:p>
            <w:pPr>
              <w:spacing w:line="280" w:lineRule="exact"/>
              <w:jc w:val="center"/>
              <w:rPr>
                <w:sz w:val="20"/>
                <w:szCs w:val="21"/>
              </w:rPr>
            </w:pPr>
            <w:r>
              <w:rPr>
                <w:rFonts w:hint="eastAsia"/>
                <w:sz w:val="20"/>
                <w:szCs w:val="21"/>
              </w:rPr>
              <w:t>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7" w:type="dxa"/>
            <w:shd w:val="clear" w:color="auto" w:fill="auto"/>
            <w:vAlign w:val="center"/>
          </w:tcPr>
          <w:p>
            <w:pPr>
              <w:spacing w:line="280" w:lineRule="exact"/>
              <w:jc w:val="center"/>
              <w:rPr>
                <w:sz w:val="20"/>
                <w:szCs w:val="21"/>
              </w:rPr>
            </w:pPr>
            <w:r>
              <w:rPr>
                <w:sz w:val="20"/>
                <w:szCs w:val="21"/>
              </w:rPr>
              <w:t>2</w:t>
            </w:r>
          </w:p>
        </w:tc>
        <w:tc>
          <w:tcPr>
            <w:tcW w:w="867" w:type="dxa"/>
            <w:shd w:val="clear" w:color="auto" w:fill="auto"/>
            <w:vAlign w:val="center"/>
          </w:tcPr>
          <w:p>
            <w:pPr>
              <w:spacing w:line="280" w:lineRule="exact"/>
              <w:jc w:val="center"/>
              <w:rPr>
                <w:sz w:val="20"/>
                <w:szCs w:val="21"/>
              </w:rPr>
            </w:pPr>
            <w:r>
              <w:rPr>
                <w:sz w:val="20"/>
                <w:szCs w:val="21"/>
              </w:rPr>
              <w:t>生活垃圾</w:t>
            </w:r>
          </w:p>
        </w:tc>
        <w:tc>
          <w:tcPr>
            <w:tcW w:w="975" w:type="dxa"/>
            <w:shd w:val="clear" w:color="auto" w:fill="auto"/>
            <w:vAlign w:val="center"/>
          </w:tcPr>
          <w:p>
            <w:pPr>
              <w:spacing w:line="280" w:lineRule="exact"/>
              <w:jc w:val="center"/>
              <w:rPr>
                <w:sz w:val="20"/>
                <w:szCs w:val="21"/>
              </w:rPr>
            </w:pPr>
            <w:r>
              <w:rPr>
                <w:sz w:val="20"/>
                <w:szCs w:val="21"/>
              </w:rPr>
              <w:t>一般固废</w:t>
            </w:r>
          </w:p>
        </w:tc>
        <w:tc>
          <w:tcPr>
            <w:tcW w:w="970" w:type="dxa"/>
            <w:shd w:val="clear" w:color="auto" w:fill="auto"/>
            <w:vAlign w:val="center"/>
          </w:tcPr>
          <w:p>
            <w:pPr>
              <w:spacing w:line="280" w:lineRule="exact"/>
              <w:jc w:val="center"/>
              <w:rPr>
                <w:sz w:val="20"/>
                <w:szCs w:val="21"/>
              </w:rPr>
            </w:pPr>
            <w:r>
              <w:rPr>
                <w:sz w:val="20"/>
                <w:szCs w:val="21"/>
              </w:rPr>
              <w:t>日常生活</w:t>
            </w:r>
          </w:p>
        </w:tc>
        <w:tc>
          <w:tcPr>
            <w:tcW w:w="708" w:type="dxa"/>
            <w:shd w:val="clear" w:color="auto" w:fill="auto"/>
            <w:vAlign w:val="center"/>
          </w:tcPr>
          <w:p>
            <w:pPr>
              <w:spacing w:line="280" w:lineRule="exact"/>
              <w:jc w:val="center"/>
              <w:rPr>
                <w:sz w:val="20"/>
                <w:szCs w:val="21"/>
              </w:rPr>
            </w:pPr>
            <w:r>
              <w:rPr>
                <w:sz w:val="20"/>
                <w:szCs w:val="21"/>
              </w:rPr>
              <w:t>固体</w:t>
            </w:r>
          </w:p>
        </w:tc>
        <w:tc>
          <w:tcPr>
            <w:tcW w:w="708" w:type="dxa"/>
            <w:shd w:val="clear" w:color="auto" w:fill="auto"/>
            <w:vAlign w:val="center"/>
          </w:tcPr>
          <w:p>
            <w:pPr>
              <w:spacing w:line="280" w:lineRule="exact"/>
              <w:jc w:val="center"/>
              <w:rPr>
                <w:sz w:val="20"/>
                <w:szCs w:val="21"/>
              </w:rPr>
            </w:pPr>
            <w:r>
              <w:rPr>
                <w:sz w:val="20"/>
                <w:szCs w:val="21"/>
              </w:rPr>
              <w:t>生活垃圾</w:t>
            </w:r>
          </w:p>
        </w:tc>
        <w:tc>
          <w:tcPr>
            <w:tcW w:w="706" w:type="dxa"/>
            <w:shd w:val="clear" w:color="auto" w:fill="auto"/>
            <w:vAlign w:val="center"/>
          </w:tcPr>
          <w:p>
            <w:pPr>
              <w:spacing w:line="280" w:lineRule="exact"/>
              <w:jc w:val="center"/>
              <w:rPr>
                <w:sz w:val="20"/>
                <w:szCs w:val="21"/>
              </w:rPr>
            </w:pPr>
            <w:r>
              <w:rPr>
                <w:sz w:val="20"/>
                <w:szCs w:val="21"/>
              </w:rPr>
              <w:t>/</w:t>
            </w:r>
          </w:p>
        </w:tc>
        <w:tc>
          <w:tcPr>
            <w:tcW w:w="458" w:type="dxa"/>
            <w:shd w:val="clear" w:color="auto" w:fill="auto"/>
            <w:vAlign w:val="center"/>
          </w:tcPr>
          <w:p>
            <w:pPr>
              <w:spacing w:line="280" w:lineRule="exact"/>
              <w:jc w:val="center"/>
              <w:rPr>
                <w:sz w:val="20"/>
                <w:szCs w:val="21"/>
              </w:rPr>
            </w:pPr>
            <w:r>
              <w:rPr>
                <w:sz w:val="20"/>
                <w:szCs w:val="21"/>
              </w:rPr>
              <w:t>/</w:t>
            </w:r>
          </w:p>
        </w:tc>
        <w:tc>
          <w:tcPr>
            <w:tcW w:w="750" w:type="dxa"/>
            <w:shd w:val="clear" w:color="auto" w:fill="auto"/>
            <w:vAlign w:val="center"/>
          </w:tcPr>
          <w:p>
            <w:pPr>
              <w:spacing w:line="280" w:lineRule="exact"/>
              <w:jc w:val="center"/>
              <w:rPr>
                <w:sz w:val="20"/>
                <w:szCs w:val="21"/>
              </w:rPr>
            </w:pPr>
            <w:r>
              <w:rPr>
                <w:sz w:val="20"/>
                <w:szCs w:val="21"/>
              </w:rPr>
              <w:t>/</w:t>
            </w:r>
          </w:p>
        </w:tc>
        <w:tc>
          <w:tcPr>
            <w:tcW w:w="1150" w:type="dxa"/>
            <w:shd w:val="clear" w:color="auto" w:fill="auto"/>
            <w:vAlign w:val="center"/>
          </w:tcPr>
          <w:p>
            <w:pPr>
              <w:spacing w:line="280" w:lineRule="exact"/>
              <w:jc w:val="center"/>
              <w:rPr>
                <w:sz w:val="20"/>
                <w:szCs w:val="21"/>
              </w:rPr>
            </w:pPr>
            <w:r>
              <w:rPr>
                <w:sz w:val="20"/>
                <w:szCs w:val="21"/>
              </w:rPr>
              <w:t>/</w:t>
            </w:r>
          </w:p>
        </w:tc>
        <w:tc>
          <w:tcPr>
            <w:tcW w:w="819" w:type="dxa"/>
            <w:shd w:val="clear" w:color="auto" w:fill="auto"/>
            <w:vAlign w:val="center"/>
          </w:tcPr>
          <w:p>
            <w:pPr>
              <w:spacing w:line="280" w:lineRule="exact"/>
              <w:jc w:val="center"/>
              <w:rPr>
                <w:sz w:val="20"/>
                <w:szCs w:val="21"/>
              </w:rPr>
            </w:pPr>
            <w:r>
              <w:rPr>
                <w:rFonts w:hint="eastAsia"/>
                <w:sz w:val="20"/>
                <w:szCs w:val="21"/>
              </w:rPr>
              <w:t>125.7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7" w:type="dxa"/>
            <w:shd w:val="clear" w:color="auto" w:fill="auto"/>
            <w:vAlign w:val="center"/>
          </w:tcPr>
          <w:p>
            <w:pPr>
              <w:spacing w:line="280" w:lineRule="exact"/>
              <w:jc w:val="center"/>
              <w:rPr>
                <w:sz w:val="20"/>
                <w:szCs w:val="21"/>
              </w:rPr>
            </w:pPr>
            <w:r>
              <w:rPr>
                <w:rFonts w:hint="eastAsia"/>
                <w:sz w:val="20"/>
                <w:szCs w:val="21"/>
              </w:rPr>
              <w:t>3</w:t>
            </w:r>
          </w:p>
        </w:tc>
        <w:tc>
          <w:tcPr>
            <w:tcW w:w="867" w:type="dxa"/>
            <w:shd w:val="clear" w:color="auto" w:fill="auto"/>
            <w:vAlign w:val="center"/>
          </w:tcPr>
          <w:p>
            <w:pPr>
              <w:jc w:val="center"/>
              <w:rPr>
                <w:sz w:val="20"/>
                <w:szCs w:val="21"/>
              </w:rPr>
            </w:pPr>
            <w:r>
              <w:rPr>
                <w:rFonts w:hint="eastAsia"/>
                <w:sz w:val="20"/>
                <w:szCs w:val="21"/>
              </w:rPr>
              <w:t>办公垃圾</w:t>
            </w:r>
          </w:p>
        </w:tc>
        <w:tc>
          <w:tcPr>
            <w:tcW w:w="975" w:type="dxa"/>
            <w:shd w:val="clear" w:color="auto" w:fill="auto"/>
            <w:vAlign w:val="center"/>
          </w:tcPr>
          <w:p>
            <w:pPr>
              <w:jc w:val="center"/>
              <w:rPr>
                <w:sz w:val="20"/>
                <w:szCs w:val="21"/>
              </w:rPr>
            </w:pPr>
            <w:r>
              <w:rPr>
                <w:rFonts w:hint="eastAsia"/>
                <w:sz w:val="20"/>
                <w:szCs w:val="21"/>
              </w:rPr>
              <w:t>一般固废</w:t>
            </w:r>
          </w:p>
        </w:tc>
        <w:tc>
          <w:tcPr>
            <w:tcW w:w="970" w:type="dxa"/>
            <w:shd w:val="clear" w:color="auto" w:fill="auto"/>
            <w:vAlign w:val="center"/>
          </w:tcPr>
          <w:p>
            <w:pPr>
              <w:jc w:val="center"/>
              <w:rPr>
                <w:sz w:val="20"/>
                <w:szCs w:val="21"/>
              </w:rPr>
            </w:pPr>
            <w:r>
              <w:rPr>
                <w:rFonts w:hint="eastAsia"/>
                <w:sz w:val="20"/>
                <w:szCs w:val="21"/>
              </w:rPr>
              <w:t>办公</w:t>
            </w:r>
          </w:p>
        </w:tc>
        <w:tc>
          <w:tcPr>
            <w:tcW w:w="708" w:type="dxa"/>
            <w:shd w:val="clear" w:color="auto" w:fill="auto"/>
            <w:vAlign w:val="center"/>
          </w:tcPr>
          <w:p>
            <w:pPr>
              <w:jc w:val="center"/>
              <w:rPr>
                <w:sz w:val="20"/>
                <w:szCs w:val="21"/>
              </w:rPr>
            </w:pPr>
            <w:r>
              <w:rPr>
                <w:rFonts w:hint="eastAsia"/>
                <w:sz w:val="20"/>
                <w:szCs w:val="21"/>
              </w:rPr>
              <w:t>固体</w:t>
            </w:r>
          </w:p>
        </w:tc>
        <w:tc>
          <w:tcPr>
            <w:tcW w:w="708" w:type="dxa"/>
            <w:shd w:val="clear" w:color="auto" w:fill="auto"/>
            <w:vAlign w:val="center"/>
          </w:tcPr>
          <w:p>
            <w:pPr>
              <w:jc w:val="center"/>
              <w:rPr>
                <w:sz w:val="20"/>
                <w:szCs w:val="21"/>
              </w:rPr>
            </w:pPr>
            <w:r>
              <w:rPr>
                <w:rFonts w:hint="eastAsia"/>
                <w:sz w:val="20"/>
                <w:szCs w:val="21"/>
              </w:rPr>
              <w:t>废光盘、废纸</w:t>
            </w:r>
          </w:p>
        </w:tc>
        <w:tc>
          <w:tcPr>
            <w:tcW w:w="706" w:type="dxa"/>
            <w:shd w:val="clear" w:color="auto" w:fill="auto"/>
            <w:vAlign w:val="center"/>
          </w:tcPr>
          <w:p>
            <w:pPr>
              <w:jc w:val="center"/>
              <w:rPr>
                <w:sz w:val="20"/>
                <w:szCs w:val="21"/>
              </w:rPr>
            </w:pPr>
            <w:r>
              <w:rPr>
                <w:sz w:val="20"/>
                <w:szCs w:val="21"/>
              </w:rPr>
              <w:t>/</w:t>
            </w:r>
          </w:p>
        </w:tc>
        <w:tc>
          <w:tcPr>
            <w:tcW w:w="458" w:type="dxa"/>
            <w:shd w:val="clear" w:color="auto" w:fill="auto"/>
            <w:vAlign w:val="center"/>
          </w:tcPr>
          <w:p>
            <w:pPr>
              <w:jc w:val="center"/>
              <w:rPr>
                <w:sz w:val="20"/>
                <w:szCs w:val="21"/>
              </w:rPr>
            </w:pPr>
            <w:r>
              <w:rPr>
                <w:sz w:val="20"/>
                <w:szCs w:val="21"/>
              </w:rPr>
              <w:t>/</w:t>
            </w:r>
          </w:p>
        </w:tc>
        <w:tc>
          <w:tcPr>
            <w:tcW w:w="750" w:type="dxa"/>
            <w:shd w:val="clear" w:color="auto" w:fill="auto"/>
            <w:vAlign w:val="center"/>
          </w:tcPr>
          <w:p>
            <w:pPr>
              <w:jc w:val="center"/>
              <w:rPr>
                <w:sz w:val="20"/>
                <w:szCs w:val="21"/>
              </w:rPr>
            </w:pPr>
            <w:r>
              <w:rPr>
                <w:sz w:val="20"/>
                <w:szCs w:val="21"/>
              </w:rPr>
              <w:t>/</w:t>
            </w:r>
          </w:p>
        </w:tc>
        <w:tc>
          <w:tcPr>
            <w:tcW w:w="1150" w:type="dxa"/>
            <w:shd w:val="clear" w:color="auto" w:fill="auto"/>
            <w:vAlign w:val="center"/>
          </w:tcPr>
          <w:p>
            <w:pPr>
              <w:jc w:val="center"/>
              <w:rPr>
                <w:sz w:val="20"/>
                <w:szCs w:val="21"/>
              </w:rPr>
            </w:pPr>
            <w:r>
              <w:rPr>
                <w:sz w:val="20"/>
                <w:szCs w:val="21"/>
              </w:rPr>
              <w:t>/</w:t>
            </w:r>
          </w:p>
        </w:tc>
        <w:tc>
          <w:tcPr>
            <w:tcW w:w="819" w:type="dxa"/>
            <w:shd w:val="clear" w:color="auto" w:fill="auto"/>
            <w:vAlign w:val="center"/>
          </w:tcPr>
          <w:p>
            <w:pPr>
              <w:jc w:val="center"/>
              <w:rPr>
                <w:sz w:val="20"/>
                <w:szCs w:val="21"/>
              </w:rPr>
            </w:pPr>
            <w:r>
              <w:rPr>
                <w:rFonts w:hint="eastAsia"/>
                <w:sz w:val="20"/>
                <w:szCs w:val="21"/>
              </w:rPr>
              <w:t>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7" w:type="dxa"/>
            <w:shd w:val="clear" w:color="auto" w:fill="auto"/>
            <w:vAlign w:val="center"/>
          </w:tcPr>
          <w:p>
            <w:pPr>
              <w:spacing w:line="280" w:lineRule="exact"/>
              <w:jc w:val="center"/>
              <w:rPr>
                <w:rFonts w:hint="eastAsia"/>
                <w:sz w:val="20"/>
                <w:szCs w:val="21"/>
              </w:rPr>
            </w:pPr>
            <w:r>
              <w:rPr>
                <w:rFonts w:hint="eastAsia"/>
                <w:sz w:val="20"/>
                <w:szCs w:val="21"/>
              </w:rPr>
              <w:t>4</w:t>
            </w:r>
          </w:p>
        </w:tc>
        <w:tc>
          <w:tcPr>
            <w:tcW w:w="867" w:type="dxa"/>
            <w:shd w:val="clear" w:color="auto" w:fill="auto"/>
            <w:vAlign w:val="center"/>
          </w:tcPr>
          <w:p>
            <w:pPr>
              <w:jc w:val="center"/>
              <w:rPr>
                <w:rFonts w:hint="eastAsia"/>
                <w:sz w:val="20"/>
                <w:szCs w:val="21"/>
              </w:rPr>
            </w:pPr>
            <w:r>
              <w:rPr>
                <w:rFonts w:hint="eastAsia"/>
                <w:sz w:val="20"/>
                <w:szCs w:val="21"/>
              </w:rPr>
              <w:t>废机油</w:t>
            </w:r>
          </w:p>
        </w:tc>
        <w:tc>
          <w:tcPr>
            <w:tcW w:w="975" w:type="dxa"/>
            <w:shd w:val="clear" w:color="auto" w:fill="auto"/>
            <w:vAlign w:val="center"/>
          </w:tcPr>
          <w:p>
            <w:pPr>
              <w:jc w:val="center"/>
              <w:rPr>
                <w:rFonts w:hint="eastAsia"/>
                <w:sz w:val="20"/>
                <w:szCs w:val="21"/>
              </w:rPr>
            </w:pPr>
            <w:r>
              <w:rPr>
                <w:rFonts w:hint="eastAsia"/>
                <w:sz w:val="20"/>
                <w:szCs w:val="21"/>
              </w:rPr>
              <w:t>危险固废</w:t>
            </w:r>
          </w:p>
        </w:tc>
        <w:tc>
          <w:tcPr>
            <w:tcW w:w="970" w:type="dxa"/>
            <w:shd w:val="clear" w:color="auto" w:fill="auto"/>
            <w:vAlign w:val="center"/>
          </w:tcPr>
          <w:p>
            <w:pPr>
              <w:jc w:val="center"/>
              <w:rPr>
                <w:rFonts w:hint="eastAsia"/>
                <w:sz w:val="20"/>
                <w:szCs w:val="21"/>
              </w:rPr>
            </w:pPr>
            <w:r>
              <w:rPr>
                <w:rFonts w:hint="eastAsia"/>
                <w:sz w:val="20"/>
                <w:szCs w:val="21"/>
              </w:rPr>
              <w:t>机修</w:t>
            </w:r>
          </w:p>
        </w:tc>
        <w:tc>
          <w:tcPr>
            <w:tcW w:w="708" w:type="dxa"/>
            <w:shd w:val="clear" w:color="auto" w:fill="auto"/>
            <w:vAlign w:val="center"/>
          </w:tcPr>
          <w:p>
            <w:pPr>
              <w:jc w:val="center"/>
              <w:rPr>
                <w:rFonts w:hint="eastAsia"/>
                <w:sz w:val="20"/>
                <w:szCs w:val="21"/>
              </w:rPr>
            </w:pPr>
            <w:r>
              <w:rPr>
                <w:rFonts w:hint="eastAsia"/>
                <w:sz w:val="20"/>
                <w:szCs w:val="21"/>
              </w:rPr>
              <w:t>液体</w:t>
            </w:r>
          </w:p>
        </w:tc>
        <w:tc>
          <w:tcPr>
            <w:tcW w:w="708" w:type="dxa"/>
            <w:shd w:val="clear" w:color="auto" w:fill="auto"/>
            <w:vAlign w:val="center"/>
          </w:tcPr>
          <w:p>
            <w:pPr>
              <w:jc w:val="center"/>
              <w:rPr>
                <w:rFonts w:hint="eastAsia"/>
                <w:sz w:val="20"/>
                <w:szCs w:val="21"/>
              </w:rPr>
            </w:pPr>
            <w:r>
              <w:rPr>
                <w:rFonts w:hint="eastAsia"/>
                <w:sz w:val="20"/>
                <w:szCs w:val="21"/>
              </w:rPr>
              <w:t>废机油</w:t>
            </w:r>
          </w:p>
        </w:tc>
        <w:tc>
          <w:tcPr>
            <w:tcW w:w="706" w:type="dxa"/>
            <w:shd w:val="clear" w:color="auto" w:fill="auto"/>
            <w:vAlign w:val="center"/>
          </w:tcPr>
          <w:p>
            <w:pPr>
              <w:jc w:val="center"/>
              <w:rPr>
                <w:sz w:val="20"/>
                <w:szCs w:val="21"/>
              </w:rPr>
            </w:pPr>
            <w:r>
              <w:rPr>
                <w:sz w:val="20"/>
                <w:szCs w:val="21"/>
              </w:rPr>
              <w:t>/</w:t>
            </w:r>
          </w:p>
        </w:tc>
        <w:tc>
          <w:tcPr>
            <w:tcW w:w="458" w:type="dxa"/>
            <w:shd w:val="clear" w:color="auto" w:fill="auto"/>
            <w:vAlign w:val="center"/>
          </w:tcPr>
          <w:p>
            <w:pPr>
              <w:jc w:val="center"/>
              <w:rPr>
                <w:sz w:val="20"/>
                <w:szCs w:val="21"/>
              </w:rPr>
            </w:pPr>
            <w:r>
              <w:rPr>
                <w:sz w:val="15"/>
                <w:szCs w:val="21"/>
              </w:rPr>
              <w:t>T</w:t>
            </w:r>
            <w:r>
              <w:rPr>
                <w:rFonts w:hint="eastAsia"/>
                <w:sz w:val="15"/>
                <w:szCs w:val="21"/>
              </w:rPr>
              <w:t>，</w:t>
            </w:r>
            <w:r>
              <w:rPr>
                <w:sz w:val="15"/>
                <w:szCs w:val="21"/>
              </w:rPr>
              <w:t>T</w:t>
            </w:r>
          </w:p>
        </w:tc>
        <w:tc>
          <w:tcPr>
            <w:tcW w:w="750" w:type="dxa"/>
            <w:shd w:val="clear" w:color="auto" w:fill="auto"/>
            <w:vAlign w:val="center"/>
          </w:tcPr>
          <w:p>
            <w:pPr>
              <w:jc w:val="center"/>
              <w:rPr>
                <w:sz w:val="20"/>
                <w:szCs w:val="21"/>
              </w:rPr>
            </w:pPr>
            <w:r>
              <w:rPr>
                <w:sz w:val="20"/>
                <w:szCs w:val="21"/>
              </w:rPr>
              <w:t>HW08</w:t>
            </w:r>
          </w:p>
        </w:tc>
        <w:tc>
          <w:tcPr>
            <w:tcW w:w="1150" w:type="dxa"/>
            <w:shd w:val="clear" w:color="auto" w:fill="auto"/>
            <w:vAlign w:val="center"/>
          </w:tcPr>
          <w:p>
            <w:pPr>
              <w:widowControl/>
              <w:spacing w:before="100" w:beforeAutospacing="1" w:after="100" w:afterAutospacing="1"/>
              <w:jc w:val="center"/>
              <w:rPr>
                <w:sz w:val="20"/>
                <w:szCs w:val="21"/>
              </w:rPr>
            </w:pPr>
            <w:r>
              <w:rPr>
                <w:sz w:val="20"/>
                <w:szCs w:val="21"/>
              </w:rPr>
              <w:t>900-249-08</w:t>
            </w:r>
          </w:p>
        </w:tc>
        <w:tc>
          <w:tcPr>
            <w:tcW w:w="819" w:type="dxa"/>
            <w:shd w:val="clear" w:color="auto" w:fill="auto"/>
            <w:vAlign w:val="center"/>
          </w:tcPr>
          <w:p>
            <w:pPr>
              <w:jc w:val="center"/>
              <w:rPr>
                <w:rFonts w:hint="eastAsia"/>
                <w:sz w:val="20"/>
                <w:szCs w:val="21"/>
              </w:rPr>
            </w:pPr>
            <w:r>
              <w:rPr>
                <w:rFonts w:hint="eastAsia"/>
                <w:sz w:val="20"/>
                <w:szCs w:val="21"/>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709" w:type="dxa"/>
            <w:gridSpan w:val="10"/>
            <w:shd w:val="clear" w:color="auto" w:fill="auto"/>
            <w:vAlign w:val="center"/>
          </w:tcPr>
          <w:p>
            <w:pPr>
              <w:spacing w:line="280" w:lineRule="exact"/>
              <w:jc w:val="center"/>
              <w:rPr>
                <w:sz w:val="20"/>
                <w:szCs w:val="21"/>
              </w:rPr>
            </w:pPr>
            <w:r>
              <w:rPr>
                <w:sz w:val="20"/>
                <w:szCs w:val="21"/>
              </w:rPr>
              <w:t>合计</w:t>
            </w:r>
          </w:p>
        </w:tc>
        <w:tc>
          <w:tcPr>
            <w:tcW w:w="819" w:type="dxa"/>
            <w:shd w:val="clear" w:color="auto" w:fill="auto"/>
            <w:vAlign w:val="center"/>
          </w:tcPr>
          <w:p>
            <w:pPr>
              <w:spacing w:line="280" w:lineRule="exact"/>
              <w:jc w:val="center"/>
              <w:rPr>
                <w:sz w:val="20"/>
                <w:szCs w:val="21"/>
              </w:rPr>
            </w:pPr>
            <w:r>
              <w:rPr>
                <w:rFonts w:hint="eastAsia"/>
                <w:sz w:val="20"/>
                <w:szCs w:val="21"/>
              </w:rPr>
              <w:t>132.45</w:t>
            </w:r>
          </w:p>
        </w:tc>
      </w:tr>
    </w:tbl>
    <w:p>
      <w:pPr>
        <w:adjustRightInd w:val="0"/>
        <w:snapToGrid w:val="0"/>
        <w:jc w:val="center"/>
        <w:rPr>
          <w:rFonts w:hint="eastAsia"/>
          <w:b/>
        </w:rPr>
      </w:pPr>
    </w:p>
    <w:p>
      <w:pPr>
        <w:pStyle w:val="3"/>
        <w:tabs>
          <w:tab w:val="left" w:pos="360"/>
          <w:tab w:val="left" w:pos="840"/>
        </w:tabs>
        <w:spacing w:before="0" w:after="0" w:line="360" w:lineRule="auto"/>
        <w:rPr>
          <w:rFonts w:ascii="Times New Roman" w:hAnsi="Times New Roman" w:eastAsia="宋体"/>
          <w:b/>
          <w:sz w:val="28"/>
          <w:szCs w:val="28"/>
        </w:rPr>
      </w:pPr>
      <w:bookmarkStart w:id="126" w:name="_Toc406508407"/>
      <w:bookmarkStart w:id="127" w:name="_Toc433723072"/>
      <w:bookmarkStart w:id="128" w:name="_Toc435690417"/>
      <w:r>
        <w:rPr>
          <w:rFonts w:hint="eastAsia" w:ascii="Times New Roman" w:hAnsi="Times New Roman" w:eastAsia="宋体"/>
          <w:b/>
          <w:sz w:val="28"/>
          <w:szCs w:val="28"/>
        </w:rPr>
        <w:t>2.7</w:t>
      </w:r>
      <w:r>
        <w:rPr>
          <w:rFonts w:ascii="Times New Roman" w:hAnsi="Times New Roman" w:eastAsia="宋体"/>
          <w:b/>
          <w:sz w:val="28"/>
          <w:szCs w:val="28"/>
        </w:rPr>
        <w:t>营运期污染物“三本帐”核算表</w:t>
      </w:r>
      <w:bookmarkEnd w:id="126"/>
      <w:bookmarkEnd w:id="127"/>
      <w:bookmarkEnd w:id="128"/>
    </w:p>
    <w:p>
      <w:pPr>
        <w:adjustRightInd w:val="0"/>
        <w:snapToGrid w:val="0"/>
        <w:spacing w:line="360" w:lineRule="auto"/>
        <w:ind w:firstLine="480" w:firstLineChars="200"/>
        <w:rPr>
          <w:sz w:val="24"/>
        </w:rPr>
      </w:pPr>
      <w:r>
        <w:rPr>
          <w:sz w:val="24"/>
        </w:rPr>
        <w:t>本项目营运期污染源“三本帐”核算情况见表</w:t>
      </w:r>
      <w:r>
        <w:rPr>
          <w:rFonts w:hint="eastAsia"/>
          <w:sz w:val="24"/>
        </w:rPr>
        <w:t>2</w:t>
      </w:r>
      <w:r>
        <w:rPr>
          <w:sz w:val="24"/>
        </w:rPr>
        <w:t>.</w:t>
      </w:r>
      <w:r>
        <w:rPr>
          <w:rFonts w:hint="eastAsia"/>
          <w:sz w:val="24"/>
        </w:rPr>
        <w:t>7</w:t>
      </w:r>
      <w:r>
        <w:rPr>
          <w:sz w:val="24"/>
        </w:rPr>
        <w:t>-1。</w:t>
      </w:r>
    </w:p>
    <w:p>
      <w:pPr>
        <w:adjustRightInd w:val="0"/>
        <w:snapToGrid w:val="0"/>
        <w:jc w:val="center"/>
        <w:rPr>
          <w:b/>
        </w:rPr>
      </w:pPr>
      <w:r>
        <w:rPr>
          <w:b/>
        </w:rPr>
        <w:t>表</w:t>
      </w:r>
      <w:r>
        <w:rPr>
          <w:rFonts w:hint="eastAsia"/>
          <w:b/>
        </w:rPr>
        <w:t>2</w:t>
      </w:r>
      <w:r>
        <w:rPr>
          <w:b/>
        </w:rPr>
        <w:t>.</w:t>
      </w:r>
      <w:r>
        <w:rPr>
          <w:rFonts w:hint="eastAsia"/>
          <w:b/>
        </w:rPr>
        <w:t>7</w:t>
      </w:r>
      <w:r>
        <w:rPr>
          <w:b/>
        </w:rPr>
        <w:t>-1  本项目营运期污染物“三本帐”核算表  （单位：t/a）</w:t>
      </w:r>
    </w:p>
    <w:tbl>
      <w:tblPr>
        <w:tblStyle w:val="59"/>
        <w:tblW w:w="85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1"/>
        <w:gridCol w:w="1796"/>
        <w:gridCol w:w="1243"/>
        <w:gridCol w:w="1075"/>
        <w:gridCol w:w="1378"/>
        <w:gridCol w:w="13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tblHeader/>
          <w:jc w:val="center"/>
        </w:trPr>
        <w:tc>
          <w:tcPr>
            <w:tcW w:w="1661"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种类</w:t>
            </w:r>
          </w:p>
        </w:tc>
        <w:tc>
          <w:tcPr>
            <w:tcW w:w="1796"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污染物名称</w:t>
            </w:r>
          </w:p>
        </w:tc>
        <w:tc>
          <w:tcPr>
            <w:tcW w:w="1243"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产生量</w:t>
            </w:r>
          </w:p>
        </w:tc>
        <w:tc>
          <w:tcPr>
            <w:tcW w:w="1075"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削减量</w:t>
            </w:r>
          </w:p>
        </w:tc>
        <w:tc>
          <w:tcPr>
            <w:tcW w:w="1378"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接管排放量</w:t>
            </w:r>
          </w:p>
        </w:tc>
        <w:tc>
          <w:tcPr>
            <w:tcW w:w="1375"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排入环境量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661" w:type="dxa"/>
            <w:vMerge w:val="restart"/>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废水</w:t>
            </w:r>
          </w:p>
        </w:tc>
        <w:tc>
          <w:tcPr>
            <w:tcW w:w="1796"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废水量</w:t>
            </w:r>
          </w:p>
        </w:tc>
        <w:tc>
          <w:tcPr>
            <w:tcW w:w="1243"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26816</w:t>
            </w:r>
          </w:p>
        </w:tc>
        <w:tc>
          <w:tcPr>
            <w:tcW w:w="1075"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w:t>
            </w:r>
          </w:p>
        </w:tc>
        <w:tc>
          <w:tcPr>
            <w:tcW w:w="1378"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26816</w:t>
            </w:r>
          </w:p>
        </w:tc>
        <w:tc>
          <w:tcPr>
            <w:tcW w:w="1375"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26816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661" w:type="dxa"/>
            <w:vMerge w:val="continue"/>
            <w:shd w:val="clear" w:color="auto" w:fill="auto"/>
            <w:vAlign w:val="center"/>
          </w:tcPr>
          <w:p>
            <w:pPr>
              <w:pStyle w:val="70"/>
              <w:rPr>
                <w:rFonts w:ascii="Times New Roman" w:hAnsi="Times New Roman" w:eastAsia="宋体"/>
                <w:sz w:val="21"/>
                <w:szCs w:val="21"/>
                <w:lang w:val="en-US" w:eastAsia="zh-CN"/>
              </w:rPr>
            </w:pPr>
          </w:p>
        </w:tc>
        <w:tc>
          <w:tcPr>
            <w:tcW w:w="1796"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COD</w:t>
            </w:r>
          </w:p>
        </w:tc>
        <w:tc>
          <w:tcPr>
            <w:tcW w:w="1243"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9.39</w:t>
            </w:r>
          </w:p>
        </w:tc>
        <w:tc>
          <w:tcPr>
            <w:tcW w:w="1075"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1.35</w:t>
            </w:r>
          </w:p>
        </w:tc>
        <w:tc>
          <w:tcPr>
            <w:tcW w:w="1378"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8.04</w:t>
            </w:r>
          </w:p>
        </w:tc>
        <w:tc>
          <w:tcPr>
            <w:tcW w:w="1375"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1.34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661" w:type="dxa"/>
            <w:vMerge w:val="continue"/>
            <w:shd w:val="clear" w:color="auto" w:fill="auto"/>
            <w:vAlign w:val="center"/>
          </w:tcPr>
          <w:p>
            <w:pPr>
              <w:pStyle w:val="70"/>
              <w:rPr>
                <w:rFonts w:ascii="Times New Roman" w:hAnsi="Times New Roman" w:eastAsia="宋体"/>
                <w:sz w:val="21"/>
                <w:szCs w:val="21"/>
                <w:lang w:val="en-US" w:eastAsia="zh-CN"/>
              </w:rPr>
            </w:pPr>
          </w:p>
        </w:tc>
        <w:tc>
          <w:tcPr>
            <w:tcW w:w="1796"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SS</w:t>
            </w:r>
          </w:p>
        </w:tc>
        <w:tc>
          <w:tcPr>
            <w:tcW w:w="1243"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6.7</w:t>
            </w:r>
          </w:p>
        </w:tc>
        <w:tc>
          <w:tcPr>
            <w:tcW w:w="1075"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2.01</w:t>
            </w:r>
          </w:p>
        </w:tc>
        <w:tc>
          <w:tcPr>
            <w:tcW w:w="1378"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4.69</w:t>
            </w:r>
          </w:p>
        </w:tc>
        <w:tc>
          <w:tcPr>
            <w:tcW w:w="1375"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661" w:type="dxa"/>
            <w:vMerge w:val="continue"/>
            <w:shd w:val="clear" w:color="auto" w:fill="auto"/>
            <w:vAlign w:val="center"/>
          </w:tcPr>
          <w:p>
            <w:pPr>
              <w:pStyle w:val="70"/>
              <w:rPr>
                <w:rFonts w:ascii="Times New Roman" w:hAnsi="Times New Roman" w:eastAsia="宋体"/>
                <w:sz w:val="21"/>
                <w:szCs w:val="21"/>
                <w:lang w:val="en-US" w:eastAsia="zh-CN"/>
              </w:rPr>
            </w:pPr>
          </w:p>
        </w:tc>
        <w:tc>
          <w:tcPr>
            <w:tcW w:w="1796"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NH</w:t>
            </w:r>
            <w:r>
              <w:rPr>
                <w:rFonts w:ascii="Times New Roman" w:hAnsi="Times New Roman" w:eastAsia="宋体"/>
                <w:sz w:val="21"/>
                <w:szCs w:val="21"/>
                <w:vertAlign w:val="subscript"/>
                <w:lang w:val="en-US" w:eastAsia="zh-CN"/>
              </w:rPr>
              <w:t>3</w:t>
            </w:r>
            <w:r>
              <w:rPr>
                <w:rFonts w:ascii="Times New Roman" w:hAnsi="Times New Roman" w:eastAsia="宋体"/>
                <w:sz w:val="21"/>
                <w:szCs w:val="21"/>
                <w:lang w:val="en-US" w:eastAsia="zh-CN"/>
              </w:rPr>
              <w:t>-N</w:t>
            </w:r>
          </w:p>
        </w:tc>
        <w:tc>
          <w:tcPr>
            <w:tcW w:w="1243"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0.80</w:t>
            </w:r>
          </w:p>
        </w:tc>
        <w:tc>
          <w:tcPr>
            <w:tcW w:w="1075"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0.05</w:t>
            </w:r>
          </w:p>
        </w:tc>
        <w:tc>
          <w:tcPr>
            <w:tcW w:w="1378"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0.75</w:t>
            </w:r>
          </w:p>
        </w:tc>
        <w:tc>
          <w:tcPr>
            <w:tcW w:w="1375"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661" w:type="dxa"/>
            <w:vMerge w:val="continue"/>
            <w:shd w:val="clear" w:color="auto" w:fill="auto"/>
            <w:vAlign w:val="center"/>
          </w:tcPr>
          <w:p>
            <w:pPr>
              <w:pStyle w:val="70"/>
              <w:rPr>
                <w:rFonts w:ascii="Times New Roman" w:hAnsi="Times New Roman" w:eastAsia="宋体"/>
                <w:sz w:val="21"/>
                <w:szCs w:val="21"/>
                <w:lang w:val="en-US" w:eastAsia="zh-CN"/>
              </w:rPr>
            </w:pPr>
          </w:p>
        </w:tc>
        <w:tc>
          <w:tcPr>
            <w:tcW w:w="1796"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TP</w:t>
            </w:r>
          </w:p>
        </w:tc>
        <w:tc>
          <w:tcPr>
            <w:tcW w:w="1243"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0.13</w:t>
            </w:r>
          </w:p>
        </w:tc>
        <w:tc>
          <w:tcPr>
            <w:tcW w:w="1075"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0.04</w:t>
            </w:r>
          </w:p>
        </w:tc>
        <w:tc>
          <w:tcPr>
            <w:tcW w:w="1378"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0.09</w:t>
            </w:r>
          </w:p>
        </w:tc>
        <w:tc>
          <w:tcPr>
            <w:tcW w:w="1375"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661" w:type="dxa"/>
            <w:vMerge w:val="continue"/>
            <w:shd w:val="clear" w:color="auto" w:fill="auto"/>
            <w:vAlign w:val="center"/>
          </w:tcPr>
          <w:p>
            <w:pPr>
              <w:pStyle w:val="70"/>
              <w:rPr>
                <w:rFonts w:ascii="Times New Roman" w:hAnsi="Times New Roman" w:eastAsia="宋体"/>
                <w:sz w:val="21"/>
                <w:szCs w:val="21"/>
                <w:lang w:val="en-US" w:eastAsia="zh-CN"/>
              </w:rPr>
            </w:pPr>
          </w:p>
        </w:tc>
        <w:tc>
          <w:tcPr>
            <w:tcW w:w="1796"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TN</w:t>
            </w:r>
          </w:p>
        </w:tc>
        <w:tc>
          <w:tcPr>
            <w:tcW w:w="1243"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1.88</w:t>
            </w:r>
          </w:p>
        </w:tc>
        <w:tc>
          <w:tcPr>
            <w:tcW w:w="1075"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w:t>
            </w:r>
          </w:p>
        </w:tc>
        <w:tc>
          <w:tcPr>
            <w:tcW w:w="1378"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1.88</w:t>
            </w:r>
          </w:p>
        </w:tc>
        <w:tc>
          <w:tcPr>
            <w:tcW w:w="1375"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661" w:type="dxa"/>
            <w:vMerge w:val="restart"/>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物流运输车辆</w:t>
            </w:r>
            <w:r>
              <w:rPr>
                <w:rFonts w:ascii="Times New Roman" w:hAnsi="Times New Roman" w:eastAsia="宋体"/>
                <w:sz w:val="21"/>
                <w:szCs w:val="21"/>
                <w:lang w:val="en-US" w:eastAsia="zh-CN"/>
              </w:rPr>
              <w:t>无组织排放废气</w:t>
            </w:r>
          </w:p>
        </w:tc>
        <w:tc>
          <w:tcPr>
            <w:tcW w:w="1796"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CO</w:t>
            </w:r>
          </w:p>
        </w:tc>
        <w:tc>
          <w:tcPr>
            <w:tcW w:w="1243" w:type="dxa"/>
            <w:shd w:val="clear" w:color="auto" w:fill="auto"/>
            <w:vAlign w:val="center"/>
          </w:tcPr>
          <w:p>
            <w:pPr>
              <w:snapToGrid w:val="0"/>
              <w:jc w:val="center"/>
              <w:rPr>
                <w:szCs w:val="21"/>
              </w:rPr>
            </w:pPr>
            <w:r>
              <w:rPr>
                <w:rFonts w:hint="eastAsia"/>
                <w:szCs w:val="21"/>
              </w:rPr>
              <w:t>0.66</w:t>
            </w:r>
          </w:p>
        </w:tc>
        <w:tc>
          <w:tcPr>
            <w:tcW w:w="1075"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0</w:t>
            </w:r>
          </w:p>
        </w:tc>
        <w:tc>
          <w:tcPr>
            <w:tcW w:w="1378"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sz w:val="21"/>
                <w:szCs w:val="21"/>
              </w:rPr>
              <w:t>/</w:t>
            </w:r>
          </w:p>
        </w:tc>
        <w:tc>
          <w:tcPr>
            <w:tcW w:w="1375" w:type="dxa"/>
            <w:shd w:val="clear" w:color="auto" w:fill="auto"/>
            <w:vAlign w:val="center"/>
          </w:tcPr>
          <w:p>
            <w:pPr>
              <w:snapToGrid w:val="0"/>
              <w:jc w:val="center"/>
              <w:rPr>
                <w:szCs w:val="21"/>
              </w:rPr>
            </w:pPr>
            <w:r>
              <w:rPr>
                <w:rFonts w:hint="eastAsia"/>
                <w:szCs w:val="21"/>
              </w:rPr>
              <w:t>0.66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661" w:type="dxa"/>
            <w:vMerge w:val="continue"/>
            <w:shd w:val="clear" w:color="auto" w:fill="auto"/>
            <w:vAlign w:val="center"/>
          </w:tcPr>
          <w:p>
            <w:pPr>
              <w:pStyle w:val="70"/>
              <w:rPr>
                <w:rFonts w:ascii="Times New Roman" w:hAnsi="Times New Roman" w:eastAsia="宋体"/>
                <w:sz w:val="21"/>
                <w:szCs w:val="21"/>
                <w:lang w:val="en-US" w:eastAsia="zh-CN"/>
              </w:rPr>
            </w:pPr>
          </w:p>
        </w:tc>
        <w:tc>
          <w:tcPr>
            <w:tcW w:w="1796"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NO</w:t>
            </w:r>
            <w:r>
              <w:rPr>
                <w:rFonts w:ascii="Times New Roman" w:hAnsi="Times New Roman" w:eastAsia="宋体"/>
                <w:sz w:val="21"/>
                <w:szCs w:val="21"/>
                <w:vertAlign w:val="subscript"/>
                <w:lang w:val="en-US" w:eastAsia="zh-CN"/>
              </w:rPr>
              <w:t>x</w:t>
            </w:r>
          </w:p>
        </w:tc>
        <w:tc>
          <w:tcPr>
            <w:tcW w:w="1243" w:type="dxa"/>
            <w:shd w:val="clear" w:color="auto" w:fill="auto"/>
            <w:vAlign w:val="center"/>
          </w:tcPr>
          <w:p>
            <w:pPr>
              <w:snapToGrid w:val="0"/>
              <w:jc w:val="center"/>
              <w:rPr>
                <w:szCs w:val="21"/>
              </w:rPr>
            </w:pPr>
            <w:r>
              <w:rPr>
                <w:rFonts w:hint="eastAsia"/>
                <w:szCs w:val="21"/>
              </w:rPr>
              <w:t>0.41</w:t>
            </w:r>
          </w:p>
        </w:tc>
        <w:tc>
          <w:tcPr>
            <w:tcW w:w="1075"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0</w:t>
            </w:r>
          </w:p>
        </w:tc>
        <w:tc>
          <w:tcPr>
            <w:tcW w:w="1378"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sz w:val="21"/>
                <w:szCs w:val="21"/>
              </w:rPr>
              <w:t>/</w:t>
            </w:r>
          </w:p>
        </w:tc>
        <w:tc>
          <w:tcPr>
            <w:tcW w:w="1375" w:type="dxa"/>
            <w:shd w:val="clear" w:color="auto" w:fill="auto"/>
            <w:vAlign w:val="center"/>
          </w:tcPr>
          <w:p>
            <w:pPr>
              <w:snapToGrid w:val="0"/>
              <w:jc w:val="center"/>
              <w:rPr>
                <w:szCs w:val="21"/>
              </w:rPr>
            </w:pPr>
            <w:r>
              <w:rPr>
                <w:rFonts w:hint="eastAsia"/>
                <w:szCs w:val="21"/>
              </w:rPr>
              <w:t>0.41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661" w:type="dxa"/>
            <w:vMerge w:val="restart"/>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固废</w:t>
            </w:r>
          </w:p>
        </w:tc>
        <w:tc>
          <w:tcPr>
            <w:tcW w:w="1796" w:type="dxa"/>
            <w:vAlign w:val="center"/>
          </w:tcPr>
          <w:p>
            <w:pPr>
              <w:snapToGrid w:val="0"/>
              <w:jc w:val="center"/>
              <w:rPr>
                <w:szCs w:val="21"/>
              </w:rPr>
            </w:pPr>
            <w:r>
              <w:rPr>
                <w:szCs w:val="21"/>
              </w:rPr>
              <w:t>废</w:t>
            </w:r>
            <w:r>
              <w:rPr>
                <w:rFonts w:hint="eastAsia"/>
                <w:szCs w:val="21"/>
              </w:rPr>
              <w:t>包装</w:t>
            </w:r>
          </w:p>
        </w:tc>
        <w:tc>
          <w:tcPr>
            <w:tcW w:w="1243" w:type="dxa"/>
            <w:vAlign w:val="center"/>
          </w:tcPr>
          <w:p>
            <w:pPr>
              <w:snapToGrid w:val="0"/>
              <w:jc w:val="center"/>
              <w:rPr>
                <w:szCs w:val="21"/>
              </w:rPr>
            </w:pPr>
            <w:r>
              <w:rPr>
                <w:rFonts w:hint="eastAsia"/>
                <w:szCs w:val="21"/>
              </w:rPr>
              <w:t>5.8</w:t>
            </w:r>
          </w:p>
        </w:tc>
        <w:tc>
          <w:tcPr>
            <w:tcW w:w="1075" w:type="dxa"/>
            <w:vAlign w:val="center"/>
          </w:tcPr>
          <w:p>
            <w:pPr>
              <w:snapToGrid w:val="0"/>
              <w:jc w:val="center"/>
              <w:rPr>
                <w:szCs w:val="21"/>
              </w:rPr>
            </w:pPr>
            <w:r>
              <w:rPr>
                <w:rFonts w:hint="eastAsia"/>
                <w:szCs w:val="21"/>
              </w:rPr>
              <w:t>5.8</w:t>
            </w:r>
          </w:p>
        </w:tc>
        <w:tc>
          <w:tcPr>
            <w:tcW w:w="1378" w:type="dxa"/>
            <w:vAlign w:val="center"/>
          </w:tcPr>
          <w:p>
            <w:pPr>
              <w:pStyle w:val="70"/>
              <w:rPr>
                <w:rFonts w:ascii="Times New Roman" w:hAnsi="Times New Roman" w:eastAsia="宋体"/>
                <w:sz w:val="21"/>
                <w:szCs w:val="21"/>
                <w:lang w:val="en-US" w:eastAsia="zh-CN"/>
              </w:rPr>
            </w:pPr>
            <w:r>
              <w:rPr>
                <w:rFonts w:ascii="Times New Roman" w:hAnsi="Times New Roman"/>
                <w:sz w:val="21"/>
                <w:szCs w:val="21"/>
              </w:rPr>
              <w:t>/</w:t>
            </w:r>
          </w:p>
        </w:tc>
        <w:tc>
          <w:tcPr>
            <w:tcW w:w="1375"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661" w:type="dxa"/>
            <w:vMerge w:val="continue"/>
            <w:vAlign w:val="center"/>
          </w:tcPr>
          <w:p>
            <w:pPr>
              <w:pStyle w:val="70"/>
              <w:rPr>
                <w:rFonts w:ascii="Times New Roman" w:hAnsi="Times New Roman" w:eastAsia="宋体"/>
                <w:sz w:val="21"/>
                <w:szCs w:val="21"/>
                <w:lang w:val="en-US" w:eastAsia="zh-CN"/>
              </w:rPr>
            </w:pPr>
          </w:p>
        </w:tc>
        <w:tc>
          <w:tcPr>
            <w:tcW w:w="1796" w:type="dxa"/>
            <w:vAlign w:val="center"/>
          </w:tcPr>
          <w:p>
            <w:pPr>
              <w:snapToGrid w:val="0"/>
              <w:jc w:val="center"/>
              <w:rPr>
                <w:szCs w:val="21"/>
              </w:rPr>
            </w:pPr>
            <w:r>
              <w:rPr>
                <w:szCs w:val="21"/>
              </w:rPr>
              <w:t>生活垃圾</w:t>
            </w:r>
          </w:p>
        </w:tc>
        <w:tc>
          <w:tcPr>
            <w:tcW w:w="1243" w:type="dxa"/>
            <w:vAlign w:val="center"/>
          </w:tcPr>
          <w:p>
            <w:pPr>
              <w:snapToGrid w:val="0"/>
              <w:jc w:val="center"/>
              <w:rPr>
                <w:szCs w:val="21"/>
              </w:rPr>
            </w:pPr>
            <w:r>
              <w:rPr>
                <w:rFonts w:hint="eastAsia"/>
                <w:szCs w:val="21"/>
              </w:rPr>
              <w:t>125.7</w:t>
            </w:r>
          </w:p>
        </w:tc>
        <w:tc>
          <w:tcPr>
            <w:tcW w:w="1075" w:type="dxa"/>
            <w:vAlign w:val="center"/>
          </w:tcPr>
          <w:p>
            <w:pPr>
              <w:snapToGrid w:val="0"/>
              <w:jc w:val="center"/>
              <w:rPr>
                <w:szCs w:val="21"/>
              </w:rPr>
            </w:pPr>
            <w:r>
              <w:rPr>
                <w:rFonts w:hint="eastAsia"/>
                <w:szCs w:val="21"/>
              </w:rPr>
              <w:t>125.7</w:t>
            </w:r>
          </w:p>
        </w:tc>
        <w:tc>
          <w:tcPr>
            <w:tcW w:w="1378" w:type="dxa"/>
            <w:vAlign w:val="center"/>
          </w:tcPr>
          <w:p>
            <w:pPr>
              <w:pStyle w:val="70"/>
              <w:rPr>
                <w:rFonts w:ascii="Times New Roman" w:hAnsi="Times New Roman" w:eastAsia="宋体"/>
                <w:sz w:val="21"/>
                <w:szCs w:val="21"/>
                <w:lang w:val="en-US" w:eastAsia="zh-CN"/>
              </w:rPr>
            </w:pPr>
            <w:r>
              <w:rPr>
                <w:rFonts w:ascii="Times New Roman" w:hAnsi="Times New Roman"/>
                <w:sz w:val="21"/>
                <w:szCs w:val="21"/>
              </w:rPr>
              <w:t>/</w:t>
            </w:r>
          </w:p>
        </w:tc>
        <w:tc>
          <w:tcPr>
            <w:tcW w:w="1375"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661" w:type="dxa"/>
            <w:vMerge w:val="continue"/>
            <w:vAlign w:val="center"/>
          </w:tcPr>
          <w:p>
            <w:pPr>
              <w:pStyle w:val="70"/>
              <w:rPr>
                <w:rFonts w:ascii="Times New Roman" w:hAnsi="Times New Roman" w:eastAsia="宋体"/>
                <w:sz w:val="21"/>
                <w:szCs w:val="21"/>
                <w:lang w:val="en-US" w:eastAsia="zh-CN"/>
              </w:rPr>
            </w:pPr>
          </w:p>
        </w:tc>
        <w:tc>
          <w:tcPr>
            <w:tcW w:w="1796" w:type="dxa"/>
            <w:vAlign w:val="center"/>
          </w:tcPr>
          <w:p>
            <w:pPr>
              <w:snapToGrid w:val="0"/>
              <w:jc w:val="center"/>
              <w:rPr>
                <w:szCs w:val="21"/>
              </w:rPr>
            </w:pPr>
            <w:r>
              <w:rPr>
                <w:rFonts w:hint="eastAsia"/>
                <w:szCs w:val="21"/>
              </w:rPr>
              <w:t>办公垃圾</w:t>
            </w:r>
          </w:p>
        </w:tc>
        <w:tc>
          <w:tcPr>
            <w:tcW w:w="1243" w:type="dxa"/>
            <w:vAlign w:val="center"/>
          </w:tcPr>
          <w:p>
            <w:pPr>
              <w:snapToGrid w:val="0"/>
              <w:jc w:val="center"/>
              <w:rPr>
                <w:szCs w:val="21"/>
              </w:rPr>
            </w:pPr>
            <w:r>
              <w:rPr>
                <w:rFonts w:hint="eastAsia"/>
                <w:szCs w:val="21"/>
              </w:rPr>
              <w:t>0.15</w:t>
            </w:r>
          </w:p>
        </w:tc>
        <w:tc>
          <w:tcPr>
            <w:tcW w:w="1075" w:type="dxa"/>
            <w:vAlign w:val="center"/>
          </w:tcPr>
          <w:p>
            <w:pPr>
              <w:snapToGrid w:val="0"/>
              <w:jc w:val="center"/>
              <w:rPr>
                <w:szCs w:val="21"/>
              </w:rPr>
            </w:pPr>
            <w:r>
              <w:rPr>
                <w:rFonts w:hint="eastAsia"/>
                <w:szCs w:val="21"/>
              </w:rPr>
              <w:t>0.15</w:t>
            </w:r>
          </w:p>
        </w:tc>
        <w:tc>
          <w:tcPr>
            <w:tcW w:w="1378" w:type="dxa"/>
            <w:vAlign w:val="center"/>
          </w:tcPr>
          <w:p>
            <w:pPr>
              <w:pStyle w:val="70"/>
              <w:rPr>
                <w:rFonts w:ascii="Times New Roman" w:hAnsi="Times New Roman" w:eastAsia="宋体"/>
                <w:sz w:val="21"/>
                <w:szCs w:val="21"/>
                <w:lang w:val="en-US" w:eastAsia="zh-CN"/>
              </w:rPr>
            </w:pPr>
            <w:r>
              <w:rPr>
                <w:rFonts w:ascii="Times New Roman" w:hAnsi="Times New Roman"/>
                <w:sz w:val="21"/>
                <w:szCs w:val="21"/>
              </w:rPr>
              <w:t>/</w:t>
            </w:r>
          </w:p>
        </w:tc>
        <w:tc>
          <w:tcPr>
            <w:tcW w:w="1375"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661" w:type="dxa"/>
            <w:vMerge w:val="continue"/>
            <w:vAlign w:val="center"/>
          </w:tcPr>
          <w:p>
            <w:pPr>
              <w:pStyle w:val="70"/>
              <w:rPr>
                <w:rFonts w:ascii="Times New Roman" w:hAnsi="Times New Roman" w:eastAsia="宋体"/>
                <w:sz w:val="21"/>
                <w:szCs w:val="21"/>
                <w:lang w:val="en-US" w:eastAsia="zh-CN"/>
              </w:rPr>
            </w:pPr>
          </w:p>
        </w:tc>
        <w:tc>
          <w:tcPr>
            <w:tcW w:w="1796" w:type="dxa"/>
            <w:vAlign w:val="center"/>
          </w:tcPr>
          <w:p>
            <w:pPr>
              <w:snapToGrid w:val="0"/>
              <w:jc w:val="center"/>
              <w:rPr>
                <w:szCs w:val="21"/>
              </w:rPr>
            </w:pPr>
            <w:r>
              <w:rPr>
                <w:rFonts w:hint="eastAsia"/>
                <w:szCs w:val="21"/>
              </w:rPr>
              <w:t>废机油</w:t>
            </w:r>
          </w:p>
        </w:tc>
        <w:tc>
          <w:tcPr>
            <w:tcW w:w="1243" w:type="dxa"/>
            <w:vAlign w:val="center"/>
          </w:tcPr>
          <w:p>
            <w:pPr>
              <w:snapToGrid w:val="0"/>
              <w:jc w:val="center"/>
              <w:rPr>
                <w:szCs w:val="21"/>
              </w:rPr>
            </w:pPr>
            <w:r>
              <w:rPr>
                <w:rFonts w:hint="eastAsia"/>
                <w:szCs w:val="21"/>
              </w:rPr>
              <w:t>0.8</w:t>
            </w:r>
          </w:p>
        </w:tc>
        <w:tc>
          <w:tcPr>
            <w:tcW w:w="1075" w:type="dxa"/>
            <w:vAlign w:val="center"/>
          </w:tcPr>
          <w:p>
            <w:pPr>
              <w:snapToGrid w:val="0"/>
              <w:jc w:val="center"/>
              <w:rPr>
                <w:szCs w:val="21"/>
              </w:rPr>
            </w:pPr>
            <w:r>
              <w:rPr>
                <w:rFonts w:hint="eastAsia"/>
                <w:szCs w:val="21"/>
              </w:rPr>
              <w:t>0.8</w:t>
            </w:r>
          </w:p>
        </w:tc>
        <w:tc>
          <w:tcPr>
            <w:tcW w:w="1378" w:type="dxa"/>
            <w:vAlign w:val="center"/>
          </w:tcPr>
          <w:p>
            <w:pPr>
              <w:pStyle w:val="70"/>
              <w:rPr>
                <w:rFonts w:ascii="Times New Roman" w:hAnsi="Times New Roman" w:eastAsia="宋体"/>
                <w:sz w:val="21"/>
                <w:szCs w:val="21"/>
                <w:lang w:val="en-US" w:eastAsia="zh-CN"/>
              </w:rPr>
            </w:pPr>
            <w:r>
              <w:rPr>
                <w:rFonts w:ascii="Times New Roman" w:hAnsi="Times New Roman"/>
                <w:sz w:val="21"/>
                <w:szCs w:val="21"/>
              </w:rPr>
              <w:t>/</w:t>
            </w:r>
          </w:p>
        </w:tc>
        <w:tc>
          <w:tcPr>
            <w:tcW w:w="1375"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0</w:t>
            </w:r>
          </w:p>
        </w:tc>
      </w:tr>
    </w:tbl>
    <w:p>
      <w:pPr>
        <w:adjustRightInd w:val="0"/>
        <w:snapToGrid w:val="0"/>
        <w:spacing w:line="360" w:lineRule="auto"/>
        <w:ind w:firstLine="480" w:firstLineChars="200"/>
        <w:rPr>
          <w:sz w:val="24"/>
        </w:rPr>
      </w:pPr>
    </w:p>
    <w:p>
      <w:pPr>
        <w:pStyle w:val="23"/>
        <w:ind w:firstLine="480" w:firstLineChars="200"/>
        <w:rPr>
          <w:rFonts w:hint="eastAsia" w:ascii="Times New Roman" w:eastAsia="宋体"/>
          <w:color w:val="auto"/>
        </w:rPr>
      </w:pPr>
    </w:p>
    <w:p>
      <w:pPr>
        <w:pStyle w:val="23"/>
        <w:ind w:firstLine="480" w:firstLineChars="200"/>
        <w:rPr>
          <w:rFonts w:ascii="Times New Roman" w:eastAsia="宋体"/>
          <w:color w:val="auto"/>
        </w:rPr>
      </w:pPr>
    </w:p>
    <w:p>
      <w:pPr>
        <w:sectPr>
          <w:pgSz w:w="11906" w:h="16838"/>
          <w:pgMar w:top="1440" w:right="1797" w:bottom="1440" w:left="1797" w:header="851" w:footer="992" w:gutter="0"/>
          <w:cols w:space="425" w:num="1"/>
          <w:docGrid w:type="lines" w:linePitch="312" w:charSpace="0"/>
        </w:sectPr>
      </w:pPr>
    </w:p>
    <w:p>
      <w:pPr>
        <w:pStyle w:val="2"/>
        <w:spacing w:before="0" w:after="0" w:line="360" w:lineRule="auto"/>
        <w:rPr>
          <w:rFonts w:eastAsia="宋体"/>
          <w:b/>
          <w:color w:val="auto"/>
          <w:sz w:val="32"/>
          <w:szCs w:val="32"/>
        </w:rPr>
      </w:pPr>
      <w:bookmarkStart w:id="129" w:name="_Toc435690418"/>
      <w:r>
        <w:rPr>
          <w:rFonts w:eastAsia="宋体"/>
          <w:b/>
          <w:color w:val="auto"/>
          <w:sz w:val="32"/>
          <w:szCs w:val="32"/>
        </w:rPr>
        <w:t>3.</w:t>
      </w:r>
      <w:bookmarkEnd w:id="70"/>
      <w:bookmarkEnd w:id="71"/>
      <w:bookmarkEnd w:id="72"/>
      <w:r>
        <w:rPr>
          <w:rFonts w:hint="eastAsia" w:eastAsia="宋体"/>
          <w:b/>
          <w:color w:val="auto"/>
          <w:sz w:val="32"/>
          <w:szCs w:val="32"/>
        </w:rPr>
        <w:t>声</w:t>
      </w:r>
      <w:r>
        <w:rPr>
          <w:rFonts w:eastAsia="宋体"/>
          <w:b/>
          <w:color w:val="auto"/>
          <w:sz w:val="32"/>
          <w:szCs w:val="32"/>
        </w:rPr>
        <w:t>环境影响</w:t>
      </w:r>
      <w:r>
        <w:rPr>
          <w:rFonts w:hint="eastAsia" w:eastAsia="宋体"/>
          <w:b/>
          <w:color w:val="auto"/>
          <w:sz w:val="32"/>
          <w:szCs w:val="32"/>
        </w:rPr>
        <w:t>预测与</w:t>
      </w:r>
      <w:r>
        <w:rPr>
          <w:rFonts w:eastAsia="宋体"/>
          <w:b/>
          <w:color w:val="auto"/>
          <w:sz w:val="32"/>
          <w:szCs w:val="32"/>
        </w:rPr>
        <w:t>评价</w:t>
      </w:r>
      <w:bookmarkEnd w:id="129"/>
    </w:p>
    <w:p>
      <w:pPr>
        <w:pStyle w:val="3"/>
        <w:tabs>
          <w:tab w:val="left" w:pos="360"/>
          <w:tab w:val="left" w:pos="840"/>
        </w:tabs>
        <w:spacing w:before="0" w:after="0" w:line="360" w:lineRule="auto"/>
        <w:rPr>
          <w:rFonts w:hint="eastAsia" w:ascii="Times New Roman" w:hAnsi="Times New Roman" w:eastAsia="宋体"/>
          <w:b/>
          <w:sz w:val="28"/>
          <w:szCs w:val="28"/>
        </w:rPr>
      </w:pPr>
      <w:bookmarkStart w:id="130" w:name="_Toc435690419"/>
      <w:r>
        <w:rPr>
          <w:rFonts w:hint="eastAsia" w:ascii="Times New Roman" w:hAnsi="Times New Roman" w:eastAsia="宋体"/>
          <w:b/>
          <w:sz w:val="28"/>
          <w:szCs w:val="28"/>
        </w:rPr>
        <w:t>3.1噪声源情况</w:t>
      </w:r>
      <w:bookmarkEnd w:id="130"/>
    </w:p>
    <w:p>
      <w:pPr>
        <w:adjustRightInd w:val="0"/>
        <w:snapToGrid w:val="0"/>
        <w:spacing w:line="360" w:lineRule="auto"/>
        <w:ind w:firstLine="480" w:firstLineChars="200"/>
        <w:rPr>
          <w:rFonts w:hint="eastAsia"/>
          <w:sz w:val="24"/>
        </w:rPr>
      </w:pPr>
      <w:r>
        <w:rPr>
          <w:sz w:val="24"/>
        </w:rPr>
        <w:t>本项目的噪声主要来源于：</w:t>
      </w:r>
      <w:r>
        <w:rPr>
          <w:rFonts w:hint="eastAsia"/>
          <w:sz w:val="24"/>
        </w:rPr>
        <w:t>仓库机械通风设备、物流运输车辆、叉车等车辆交通噪声、水泵、装卸设备</w:t>
      </w:r>
      <w:r>
        <w:rPr>
          <w:sz w:val="24"/>
        </w:rPr>
        <w:t>等</w:t>
      </w:r>
      <w:r>
        <w:rPr>
          <w:rFonts w:hint="eastAsia"/>
          <w:sz w:val="24"/>
        </w:rPr>
        <w:t>，</w:t>
      </w:r>
      <w:r>
        <w:rPr>
          <w:sz w:val="24"/>
        </w:rPr>
        <w:t>各噪声产生情况见表</w:t>
      </w:r>
      <w:r>
        <w:rPr>
          <w:rFonts w:hint="eastAsia"/>
          <w:sz w:val="24"/>
        </w:rPr>
        <w:t>3.1</w:t>
      </w:r>
      <w:r>
        <w:rPr>
          <w:sz w:val="24"/>
        </w:rPr>
        <w:t>-1。</w:t>
      </w:r>
    </w:p>
    <w:p>
      <w:pPr>
        <w:adjustRightInd w:val="0"/>
        <w:snapToGrid w:val="0"/>
        <w:jc w:val="center"/>
        <w:rPr>
          <w:rFonts w:hint="eastAsia"/>
          <w:b/>
        </w:rPr>
      </w:pPr>
      <w:r>
        <w:rPr>
          <w:b/>
        </w:rPr>
        <w:t>表</w:t>
      </w:r>
      <w:r>
        <w:rPr>
          <w:rFonts w:hint="eastAsia"/>
          <w:b/>
        </w:rPr>
        <w:t xml:space="preserve">3.1-1  </w:t>
      </w:r>
      <w:r>
        <w:rPr>
          <w:b/>
        </w:rPr>
        <w:t>噪声源强及防治措施情况一览表</w:t>
      </w:r>
    </w:p>
    <w:tbl>
      <w:tblPr>
        <w:tblStyle w:val="59"/>
        <w:tblW w:w="8322"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78"/>
        <w:gridCol w:w="797"/>
        <w:gridCol w:w="1065"/>
        <w:gridCol w:w="2933"/>
        <w:gridCol w:w="949"/>
        <w:gridCol w:w="1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92" w:hRule="atLeast"/>
        </w:trPr>
        <w:tc>
          <w:tcPr>
            <w:tcW w:w="1478" w:type="dxa"/>
            <w:vAlign w:val="center"/>
          </w:tcPr>
          <w:p>
            <w:pPr>
              <w:snapToGrid w:val="0"/>
              <w:jc w:val="center"/>
              <w:rPr>
                <w:rFonts w:hint="eastAsia"/>
                <w:szCs w:val="21"/>
              </w:rPr>
            </w:pPr>
            <w:r>
              <w:rPr>
                <w:rFonts w:hint="eastAsia"/>
                <w:szCs w:val="21"/>
              </w:rPr>
              <w:t>设备名称</w:t>
            </w:r>
          </w:p>
        </w:tc>
        <w:tc>
          <w:tcPr>
            <w:tcW w:w="797" w:type="dxa"/>
            <w:vAlign w:val="center"/>
          </w:tcPr>
          <w:p>
            <w:pPr>
              <w:snapToGrid w:val="0"/>
              <w:jc w:val="center"/>
              <w:rPr>
                <w:rFonts w:hint="eastAsia"/>
                <w:szCs w:val="21"/>
              </w:rPr>
            </w:pPr>
            <w:r>
              <w:rPr>
                <w:rFonts w:hint="eastAsia"/>
                <w:szCs w:val="21"/>
              </w:rPr>
              <w:t>数量</w:t>
            </w:r>
          </w:p>
        </w:tc>
        <w:tc>
          <w:tcPr>
            <w:tcW w:w="1065" w:type="dxa"/>
            <w:vAlign w:val="center"/>
          </w:tcPr>
          <w:p>
            <w:pPr>
              <w:snapToGrid w:val="0"/>
              <w:jc w:val="center"/>
              <w:rPr>
                <w:rFonts w:hint="eastAsia"/>
                <w:szCs w:val="21"/>
              </w:rPr>
            </w:pPr>
            <w:r>
              <w:rPr>
                <w:rFonts w:hint="eastAsia"/>
                <w:szCs w:val="21"/>
              </w:rPr>
              <w:t>等效声级dB（A）</w:t>
            </w:r>
          </w:p>
        </w:tc>
        <w:tc>
          <w:tcPr>
            <w:tcW w:w="2933" w:type="dxa"/>
            <w:vAlign w:val="center"/>
          </w:tcPr>
          <w:p>
            <w:pPr>
              <w:snapToGrid w:val="0"/>
              <w:jc w:val="center"/>
              <w:rPr>
                <w:rFonts w:hint="eastAsia"/>
                <w:szCs w:val="21"/>
              </w:rPr>
            </w:pPr>
            <w:r>
              <w:rPr>
                <w:rFonts w:hint="eastAsia"/>
                <w:szCs w:val="21"/>
              </w:rPr>
              <w:t>治理措施</w:t>
            </w:r>
          </w:p>
        </w:tc>
        <w:tc>
          <w:tcPr>
            <w:tcW w:w="949" w:type="dxa"/>
            <w:vAlign w:val="center"/>
          </w:tcPr>
          <w:p>
            <w:pPr>
              <w:snapToGrid w:val="0"/>
              <w:jc w:val="center"/>
              <w:rPr>
                <w:rFonts w:hint="eastAsia"/>
                <w:szCs w:val="21"/>
              </w:rPr>
            </w:pPr>
            <w:r>
              <w:rPr>
                <w:rFonts w:hint="eastAsia"/>
                <w:szCs w:val="21"/>
              </w:rPr>
              <w:t>距最近厂界距离m</w:t>
            </w:r>
          </w:p>
        </w:tc>
        <w:tc>
          <w:tcPr>
            <w:tcW w:w="1100" w:type="dxa"/>
            <w:vAlign w:val="center"/>
          </w:tcPr>
          <w:p>
            <w:pPr>
              <w:snapToGrid w:val="0"/>
              <w:jc w:val="center"/>
              <w:rPr>
                <w:rFonts w:hint="eastAsia"/>
                <w:szCs w:val="21"/>
              </w:rPr>
            </w:pPr>
            <w:r>
              <w:rPr>
                <w:rFonts w:hint="eastAsia"/>
                <w:szCs w:val="21"/>
              </w:rPr>
              <w:t>预计降噪效果dB（A）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92" w:hRule="atLeast"/>
        </w:trPr>
        <w:tc>
          <w:tcPr>
            <w:tcW w:w="1478" w:type="dxa"/>
            <w:vAlign w:val="center"/>
          </w:tcPr>
          <w:p>
            <w:pPr>
              <w:snapToGrid w:val="0"/>
              <w:jc w:val="center"/>
              <w:rPr>
                <w:rFonts w:hint="eastAsia"/>
                <w:szCs w:val="21"/>
              </w:rPr>
            </w:pPr>
            <w:r>
              <w:rPr>
                <w:rFonts w:hint="eastAsia"/>
                <w:szCs w:val="21"/>
              </w:rPr>
              <w:t>交通噪声</w:t>
            </w:r>
          </w:p>
        </w:tc>
        <w:tc>
          <w:tcPr>
            <w:tcW w:w="797" w:type="dxa"/>
            <w:vAlign w:val="center"/>
          </w:tcPr>
          <w:p>
            <w:pPr>
              <w:snapToGrid w:val="0"/>
              <w:jc w:val="center"/>
              <w:rPr>
                <w:rFonts w:hint="eastAsia"/>
                <w:szCs w:val="21"/>
              </w:rPr>
            </w:pPr>
            <w:r>
              <w:rPr>
                <w:rFonts w:hint="eastAsia"/>
                <w:szCs w:val="21"/>
              </w:rPr>
              <w:t>日车流量约为1844辆</w:t>
            </w:r>
          </w:p>
        </w:tc>
        <w:tc>
          <w:tcPr>
            <w:tcW w:w="1065" w:type="dxa"/>
            <w:vAlign w:val="center"/>
          </w:tcPr>
          <w:p>
            <w:pPr>
              <w:snapToGrid w:val="0"/>
              <w:jc w:val="center"/>
              <w:rPr>
                <w:rFonts w:hint="eastAsia"/>
                <w:szCs w:val="21"/>
              </w:rPr>
            </w:pPr>
            <w:r>
              <w:rPr>
                <w:rFonts w:hint="eastAsia"/>
                <w:szCs w:val="21"/>
              </w:rPr>
              <w:t>60-80</w:t>
            </w:r>
          </w:p>
        </w:tc>
        <w:tc>
          <w:tcPr>
            <w:tcW w:w="2933" w:type="dxa"/>
            <w:vAlign w:val="center"/>
          </w:tcPr>
          <w:p>
            <w:pPr>
              <w:snapToGrid w:val="0"/>
              <w:jc w:val="center"/>
              <w:rPr>
                <w:rFonts w:hint="eastAsia"/>
                <w:szCs w:val="21"/>
              </w:rPr>
            </w:pPr>
            <w:r>
              <w:rPr>
                <w:rFonts w:hint="eastAsia"/>
                <w:szCs w:val="21"/>
              </w:rPr>
              <w:t>合理规划与布局道路；加强车辆管理，禁止鸣笛、限速；合理规划项目内的车流方向，保持车流畅通；物流仓库等建筑物隔声、距离衰减</w:t>
            </w:r>
          </w:p>
        </w:tc>
        <w:tc>
          <w:tcPr>
            <w:tcW w:w="949" w:type="dxa"/>
            <w:vAlign w:val="center"/>
          </w:tcPr>
          <w:p>
            <w:pPr>
              <w:snapToGrid w:val="0"/>
              <w:jc w:val="center"/>
              <w:rPr>
                <w:rFonts w:hint="eastAsia"/>
                <w:szCs w:val="21"/>
              </w:rPr>
            </w:pPr>
            <w:r>
              <w:rPr>
                <w:rFonts w:hint="eastAsia"/>
                <w:szCs w:val="21"/>
              </w:rPr>
              <w:t>—</w:t>
            </w:r>
          </w:p>
        </w:tc>
        <w:tc>
          <w:tcPr>
            <w:tcW w:w="1100" w:type="dxa"/>
            <w:vAlign w:val="center"/>
          </w:tcPr>
          <w:p>
            <w:pPr>
              <w:snapToGrid w:val="0"/>
              <w:jc w:val="center"/>
              <w:rPr>
                <w:rFonts w:hint="eastAsia"/>
                <w:szCs w:val="21"/>
              </w:rPr>
            </w:pPr>
            <w:r>
              <w:rPr>
                <w:rFonts w:hint="eastAsia"/>
                <w:szCs w:val="21"/>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92" w:hRule="atLeast"/>
        </w:trPr>
        <w:tc>
          <w:tcPr>
            <w:tcW w:w="1478" w:type="dxa"/>
            <w:vAlign w:val="center"/>
          </w:tcPr>
          <w:p>
            <w:pPr>
              <w:snapToGrid w:val="0"/>
              <w:jc w:val="center"/>
              <w:rPr>
                <w:rFonts w:hint="eastAsia"/>
                <w:szCs w:val="21"/>
              </w:rPr>
            </w:pPr>
            <w:r>
              <w:rPr>
                <w:rFonts w:hint="eastAsia"/>
                <w:szCs w:val="21"/>
              </w:rPr>
              <w:t>社会噪声</w:t>
            </w:r>
          </w:p>
        </w:tc>
        <w:tc>
          <w:tcPr>
            <w:tcW w:w="797" w:type="dxa"/>
            <w:vAlign w:val="center"/>
          </w:tcPr>
          <w:p>
            <w:pPr>
              <w:snapToGrid w:val="0"/>
              <w:jc w:val="center"/>
              <w:rPr>
                <w:rFonts w:hint="eastAsia"/>
                <w:szCs w:val="21"/>
              </w:rPr>
            </w:pPr>
            <w:r>
              <w:rPr>
                <w:rFonts w:hint="eastAsia"/>
                <w:szCs w:val="21"/>
              </w:rPr>
              <w:t>—</w:t>
            </w:r>
          </w:p>
        </w:tc>
        <w:tc>
          <w:tcPr>
            <w:tcW w:w="1065" w:type="dxa"/>
            <w:vAlign w:val="center"/>
          </w:tcPr>
          <w:p>
            <w:pPr>
              <w:snapToGrid w:val="0"/>
              <w:jc w:val="center"/>
              <w:rPr>
                <w:rFonts w:hint="eastAsia"/>
                <w:szCs w:val="21"/>
              </w:rPr>
            </w:pPr>
            <w:r>
              <w:rPr>
                <w:rFonts w:hint="eastAsia"/>
                <w:szCs w:val="21"/>
              </w:rPr>
              <w:t>60-75</w:t>
            </w:r>
          </w:p>
        </w:tc>
        <w:tc>
          <w:tcPr>
            <w:tcW w:w="2933" w:type="dxa"/>
            <w:vAlign w:val="center"/>
          </w:tcPr>
          <w:p>
            <w:pPr>
              <w:snapToGrid w:val="0"/>
              <w:jc w:val="center"/>
              <w:rPr>
                <w:rFonts w:hint="eastAsia"/>
                <w:szCs w:val="21"/>
              </w:rPr>
            </w:pPr>
            <w:r>
              <w:rPr>
                <w:rFonts w:hint="eastAsia"/>
                <w:szCs w:val="21"/>
              </w:rPr>
              <w:t>通过墙体及绿化隔声、距离衰减</w:t>
            </w:r>
          </w:p>
        </w:tc>
        <w:tc>
          <w:tcPr>
            <w:tcW w:w="949" w:type="dxa"/>
            <w:vAlign w:val="center"/>
          </w:tcPr>
          <w:p>
            <w:pPr>
              <w:snapToGrid w:val="0"/>
              <w:jc w:val="center"/>
              <w:rPr>
                <w:rFonts w:hint="eastAsia"/>
                <w:szCs w:val="21"/>
              </w:rPr>
            </w:pPr>
            <w:r>
              <w:rPr>
                <w:rFonts w:hint="eastAsia"/>
                <w:szCs w:val="21"/>
              </w:rPr>
              <w:t>—</w:t>
            </w:r>
          </w:p>
        </w:tc>
        <w:tc>
          <w:tcPr>
            <w:tcW w:w="1100" w:type="dxa"/>
            <w:vAlign w:val="center"/>
          </w:tcPr>
          <w:p>
            <w:pPr>
              <w:snapToGrid w:val="0"/>
              <w:jc w:val="center"/>
              <w:rPr>
                <w:rFonts w:hint="eastAsia"/>
                <w:szCs w:val="21"/>
              </w:rPr>
            </w:pPr>
            <w:r>
              <w:rPr>
                <w:rFonts w:hint="eastAsia"/>
                <w:szCs w:val="21"/>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92" w:hRule="atLeast"/>
        </w:trPr>
        <w:tc>
          <w:tcPr>
            <w:tcW w:w="1478" w:type="dxa"/>
            <w:vAlign w:val="center"/>
          </w:tcPr>
          <w:p>
            <w:pPr>
              <w:snapToGrid w:val="0"/>
              <w:jc w:val="center"/>
              <w:rPr>
                <w:rFonts w:hint="eastAsia"/>
                <w:szCs w:val="21"/>
              </w:rPr>
            </w:pPr>
            <w:r>
              <w:rPr>
                <w:rFonts w:hint="eastAsia"/>
                <w:szCs w:val="21"/>
              </w:rPr>
              <w:t>消防水泵</w:t>
            </w:r>
          </w:p>
        </w:tc>
        <w:tc>
          <w:tcPr>
            <w:tcW w:w="797" w:type="dxa"/>
            <w:vAlign w:val="center"/>
          </w:tcPr>
          <w:p>
            <w:pPr>
              <w:snapToGrid w:val="0"/>
              <w:jc w:val="center"/>
              <w:rPr>
                <w:rFonts w:hint="eastAsia"/>
                <w:szCs w:val="21"/>
              </w:rPr>
            </w:pPr>
            <w:r>
              <w:rPr>
                <w:rFonts w:hint="eastAsia"/>
                <w:szCs w:val="21"/>
              </w:rPr>
              <w:t>2台</w:t>
            </w:r>
          </w:p>
        </w:tc>
        <w:tc>
          <w:tcPr>
            <w:tcW w:w="1065" w:type="dxa"/>
            <w:vAlign w:val="center"/>
          </w:tcPr>
          <w:p>
            <w:pPr>
              <w:snapToGrid w:val="0"/>
              <w:jc w:val="center"/>
              <w:rPr>
                <w:rFonts w:hint="eastAsia"/>
                <w:szCs w:val="21"/>
              </w:rPr>
            </w:pPr>
            <w:r>
              <w:rPr>
                <w:rFonts w:hint="eastAsia"/>
                <w:szCs w:val="21"/>
              </w:rPr>
              <w:t>85</w:t>
            </w:r>
          </w:p>
        </w:tc>
        <w:tc>
          <w:tcPr>
            <w:tcW w:w="2933" w:type="dxa"/>
            <w:vAlign w:val="center"/>
          </w:tcPr>
          <w:p>
            <w:pPr>
              <w:snapToGrid w:val="0"/>
              <w:jc w:val="center"/>
              <w:rPr>
                <w:rFonts w:hint="eastAsia"/>
                <w:szCs w:val="21"/>
              </w:rPr>
            </w:pPr>
            <w:r>
              <w:rPr>
                <w:rFonts w:hint="eastAsia"/>
                <w:szCs w:val="21"/>
              </w:rPr>
              <w:t>设置于室内，同时选用低噪声设备、安装减振垫以及增强泵房密闭性等措施</w:t>
            </w:r>
          </w:p>
        </w:tc>
        <w:tc>
          <w:tcPr>
            <w:tcW w:w="949" w:type="dxa"/>
            <w:vAlign w:val="center"/>
          </w:tcPr>
          <w:p>
            <w:pPr>
              <w:snapToGrid w:val="0"/>
              <w:jc w:val="center"/>
              <w:rPr>
                <w:rFonts w:hint="eastAsia"/>
                <w:szCs w:val="21"/>
              </w:rPr>
            </w:pPr>
            <w:r>
              <w:rPr>
                <w:rFonts w:hint="eastAsia"/>
                <w:szCs w:val="21"/>
              </w:rPr>
              <w:t>20</w:t>
            </w:r>
          </w:p>
        </w:tc>
        <w:tc>
          <w:tcPr>
            <w:tcW w:w="1100" w:type="dxa"/>
            <w:vAlign w:val="center"/>
          </w:tcPr>
          <w:p>
            <w:pPr>
              <w:snapToGrid w:val="0"/>
              <w:jc w:val="center"/>
              <w:rPr>
                <w:rFonts w:hint="eastAsia"/>
                <w:szCs w:val="21"/>
              </w:rPr>
            </w:pPr>
            <w:r>
              <w:rPr>
                <w:rFonts w:hint="eastAsia"/>
                <w:szCs w:val="21"/>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92" w:hRule="atLeast"/>
        </w:trPr>
        <w:tc>
          <w:tcPr>
            <w:tcW w:w="1478" w:type="dxa"/>
            <w:vAlign w:val="center"/>
          </w:tcPr>
          <w:p>
            <w:pPr>
              <w:snapToGrid w:val="0"/>
              <w:jc w:val="center"/>
              <w:rPr>
                <w:rFonts w:hint="eastAsia"/>
                <w:szCs w:val="21"/>
              </w:rPr>
            </w:pPr>
            <w:r>
              <w:rPr>
                <w:rFonts w:hint="eastAsia"/>
                <w:szCs w:val="21"/>
              </w:rPr>
              <w:t>装卸、打包设备</w:t>
            </w:r>
          </w:p>
        </w:tc>
        <w:tc>
          <w:tcPr>
            <w:tcW w:w="797" w:type="dxa"/>
            <w:vAlign w:val="center"/>
          </w:tcPr>
          <w:p>
            <w:pPr>
              <w:snapToGrid w:val="0"/>
              <w:jc w:val="center"/>
              <w:rPr>
                <w:rFonts w:hint="eastAsia"/>
                <w:szCs w:val="21"/>
              </w:rPr>
            </w:pPr>
            <w:r>
              <w:rPr>
                <w:rFonts w:hint="eastAsia"/>
                <w:szCs w:val="21"/>
              </w:rPr>
              <w:t>若干</w:t>
            </w:r>
          </w:p>
        </w:tc>
        <w:tc>
          <w:tcPr>
            <w:tcW w:w="1065" w:type="dxa"/>
            <w:vAlign w:val="center"/>
          </w:tcPr>
          <w:p>
            <w:pPr>
              <w:snapToGrid w:val="0"/>
              <w:jc w:val="center"/>
              <w:rPr>
                <w:rFonts w:hint="eastAsia"/>
                <w:szCs w:val="21"/>
              </w:rPr>
            </w:pPr>
            <w:r>
              <w:rPr>
                <w:rFonts w:hint="eastAsia"/>
                <w:szCs w:val="21"/>
              </w:rPr>
              <w:t>90</w:t>
            </w:r>
          </w:p>
        </w:tc>
        <w:tc>
          <w:tcPr>
            <w:tcW w:w="2933" w:type="dxa"/>
            <w:vAlign w:val="center"/>
          </w:tcPr>
          <w:p>
            <w:pPr>
              <w:snapToGrid w:val="0"/>
              <w:jc w:val="center"/>
              <w:rPr>
                <w:rFonts w:hint="eastAsia"/>
                <w:szCs w:val="21"/>
              </w:rPr>
            </w:pPr>
            <w:r>
              <w:rPr>
                <w:rFonts w:hint="eastAsia"/>
                <w:szCs w:val="21"/>
              </w:rPr>
              <w:t>设置于室内，同时选用低噪声设备、安装减振垫等措施</w:t>
            </w:r>
          </w:p>
        </w:tc>
        <w:tc>
          <w:tcPr>
            <w:tcW w:w="949" w:type="dxa"/>
            <w:vAlign w:val="center"/>
          </w:tcPr>
          <w:p>
            <w:pPr>
              <w:snapToGrid w:val="0"/>
              <w:jc w:val="center"/>
              <w:rPr>
                <w:rFonts w:hint="eastAsia"/>
                <w:szCs w:val="21"/>
              </w:rPr>
            </w:pPr>
            <w:r>
              <w:rPr>
                <w:rFonts w:hint="eastAsia"/>
                <w:szCs w:val="21"/>
              </w:rPr>
              <w:t>80</w:t>
            </w:r>
          </w:p>
        </w:tc>
        <w:tc>
          <w:tcPr>
            <w:tcW w:w="1100" w:type="dxa"/>
            <w:vAlign w:val="center"/>
          </w:tcPr>
          <w:p>
            <w:pPr>
              <w:snapToGrid w:val="0"/>
              <w:jc w:val="center"/>
              <w:rPr>
                <w:rFonts w:hint="eastAsia"/>
                <w:szCs w:val="21"/>
              </w:rPr>
            </w:pPr>
            <w:r>
              <w:rPr>
                <w:rFonts w:hint="eastAsia"/>
                <w:szCs w:val="21"/>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92" w:hRule="atLeast"/>
        </w:trPr>
        <w:tc>
          <w:tcPr>
            <w:tcW w:w="1478" w:type="dxa"/>
            <w:vAlign w:val="center"/>
          </w:tcPr>
          <w:p>
            <w:pPr>
              <w:snapToGrid w:val="0"/>
              <w:jc w:val="center"/>
              <w:rPr>
                <w:rFonts w:hint="eastAsia"/>
                <w:szCs w:val="21"/>
              </w:rPr>
            </w:pPr>
            <w:r>
              <w:rPr>
                <w:rFonts w:hint="eastAsia"/>
                <w:szCs w:val="21"/>
              </w:rPr>
              <w:t>VRV空调系统室外机组</w:t>
            </w:r>
          </w:p>
        </w:tc>
        <w:tc>
          <w:tcPr>
            <w:tcW w:w="797" w:type="dxa"/>
            <w:vAlign w:val="center"/>
          </w:tcPr>
          <w:p>
            <w:pPr>
              <w:snapToGrid w:val="0"/>
              <w:jc w:val="center"/>
              <w:rPr>
                <w:rFonts w:hint="eastAsia"/>
                <w:szCs w:val="21"/>
              </w:rPr>
            </w:pPr>
            <w:r>
              <w:rPr>
                <w:rFonts w:hint="eastAsia"/>
                <w:szCs w:val="21"/>
              </w:rPr>
              <w:t>若干</w:t>
            </w:r>
          </w:p>
        </w:tc>
        <w:tc>
          <w:tcPr>
            <w:tcW w:w="1065" w:type="dxa"/>
            <w:vAlign w:val="center"/>
          </w:tcPr>
          <w:p>
            <w:pPr>
              <w:snapToGrid w:val="0"/>
              <w:jc w:val="center"/>
              <w:rPr>
                <w:rFonts w:hint="eastAsia"/>
                <w:szCs w:val="21"/>
              </w:rPr>
            </w:pPr>
            <w:r>
              <w:rPr>
                <w:rFonts w:hint="eastAsia"/>
                <w:szCs w:val="21"/>
              </w:rPr>
              <w:t>85</w:t>
            </w:r>
          </w:p>
        </w:tc>
        <w:tc>
          <w:tcPr>
            <w:tcW w:w="2933" w:type="dxa"/>
            <w:vAlign w:val="center"/>
          </w:tcPr>
          <w:p>
            <w:pPr>
              <w:snapToGrid w:val="0"/>
              <w:jc w:val="center"/>
              <w:rPr>
                <w:rFonts w:hint="eastAsia"/>
                <w:szCs w:val="21"/>
              </w:rPr>
            </w:pPr>
            <w:r>
              <w:rPr>
                <w:rFonts w:hint="eastAsia"/>
                <w:szCs w:val="21"/>
              </w:rPr>
              <w:t>选用低噪声设备，进、出风口安装消声器，采用减振基础和柔性接口，距离衰减等措施</w:t>
            </w:r>
          </w:p>
        </w:tc>
        <w:tc>
          <w:tcPr>
            <w:tcW w:w="949" w:type="dxa"/>
            <w:vAlign w:val="center"/>
          </w:tcPr>
          <w:p>
            <w:pPr>
              <w:snapToGrid w:val="0"/>
              <w:jc w:val="center"/>
              <w:rPr>
                <w:rFonts w:hint="eastAsia"/>
                <w:szCs w:val="21"/>
              </w:rPr>
            </w:pPr>
            <w:r>
              <w:rPr>
                <w:rFonts w:hint="eastAsia"/>
                <w:szCs w:val="21"/>
              </w:rPr>
              <w:t>80</w:t>
            </w:r>
          </w:p>
        </w:tc>
        <w:tc>
          <w:tcPr>
            <w:tcW w:w="1100" w:type="dxa"/>
            <w:vAlign w:val="center"/>
          </w:tcPr>
          <w:p>
            <w:pPr>
              <w:snapToGrid w:val="0"/>
              <w:jc w:val="center"/>
              <w:rPr>
                <w:rFonts w:hint="eastAsia"/>
                <w:szCs w:val="21"/>
              </w:rPr>
            </w:pPr>
            <w:r>
              <w:rPr>
                <w:rFonts w:hint="eastAsia"/>
                <w:szCs w:val="21"/>
              </w:rPr>
              <w:t>25</w:t>
            </w:r>
          </w:p>
        </w:tc>
      </w:tr>
    </w:tbl>
    <w:p>
      <w:pPr>
        <w:adjustRightInd w:val="0"/>
        <w:snapToGrid w:val="0"/>
        <w:spacing w:line="360" w:lineRule="auto"/>
        <w:ind w:firstLine="480" w:firstLineChars="200"/>
        <w:rPr>
          <w:rFonts w:hint="eastAsia"/>
          <w:sz w:val="24"/>
        </w:rPr>
      </w:pPr>
    </w:p>
    <w:p>
      <w:pPr>
        <w:pStyle w:val="3"/>
        <w:tabs>
          <w:tab w:val="left" w:pos="360"/>
          <w:tab w:val="left" w:pos="840"/>
        </w:tabs>
        <w:spacing w:before="0" w:after="0" w:line="360" w:lineRule="auto"/>
        <w:rPr>
          <w:rFonts w:ascii="Times New Roman" w:hAnsi="Times New Roman" w:eastAsia="宋体"/>
          <w:b/>
          <w:sz w:val="28"/>
          <w:szCs w:val="28"/>
        </w:rPr>
      </w:pPr>
      <w:bookmarkStart w:id="131" w:name="_Toc435690420"/>
      <w:r>
        <w:rPr>
          <w:rFonts w:hint="eastAsia" w:ascii="Times New Roman" w:hAnsi="Times New Roman" w:eastAsia="宋体"/>
          <w:b/>
          <w:sz w:val="28"/>
          <w:szCs w:val="28"/>
        </w:rPr>
        <w:t>3.2声环境影响预测</w:t>
      </w:r>
      <w:bookmarkEnd w:id="131"/>
    </w:p>
    <w:p>
      <w:pPr>
        <w:adjustRightInd w:val="0"/>
        <w:snapToGrid w:val="0"/>
        <w:spacing w:line="360" w:lineRule="auto"/>
        <w:ind w:firstLine="480" w:firstLineChars="200"/>
        <w:rPr>
          <w:sz w:val="24"/>
        </w:rPr>
      </w:pPr>
      <w:r>
        <w:rPr>
          <w:sz w:val="24"/>
        </w:rPr>
        <w:t>根据工程分析提供的噪声源参数和有关设备的安装位置，依据《环境影响评价技术导则·声环境》(HJ2.4-2009)中“8.2.2 声级的计算”中的公式进行预测。预测计算公式有：</w:t>
      </w:r>
    </w:p>
    <w:p>
      <w:pPr>
        <w:adjustRightInd w:val="0"/>
        <w:snapToGrid w:val="0"/>
        <w:spacing w:line="360" w:lineRule="auto"/>
        <w:ind w:firstLine="480" w:firstLineChars="200"/>
        <w:rPr>
          <w:sz w:val="24"/>
        </w:rPr>
      </w:pPr>
      <w:r>
        <w:rPr>
          <w:sz w:val="24"/>
        </w:rPr>
        <w:t>（1）噪声户外传播A声级衰减模式</w:t>
      </w:r>
    </w:p>
    <w:p>
      <w:pPr>
        <w:adjustRightInd w:val="0"/>
        <w:snapToGrid w:val="0"/>
        <w:spacing w:line="360" w:lineRule="auto"/>
        <w:ind w:firstLine="480" w:firstLineChars="200"/>
        <w:jc w:val="center"/>
        <w:rPr>
          <w:sz w:val="24"/>
        </w:rPr>
      </w:pPr>
      <w:r>
        <w:rPr>
          <w:sz w:val="24"/>
        </w:rPr>
        <w:drawing>
          <wp:inline distT="0" distB="0" distL="114300" distR="114300">
            <wp:extent cx="2599690" cy="236220"/>
            <wp:effectExtent l="0" t="0" r="6350" b="6350"/>
            <wp:docPr id="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6"/>
                    <pic:cNvPicPr>
                      <a:picLocks noChangeAspect="1"/>
                    </pic:cNvPicPr>
                  </pic:nvPicPr>
                  <pic:blipFill>
                    <a:blip r:embed="rId42"/>
                    <a:srcRect/>
                    <a:stretch>
                      <a:fillRect/>
                    </a:stretch>
                  </pic:blipFill>
                  <pic:spPr>
                    <a:xfrm>
                      <a:off x="0" y="0"/>
                      <a:ext cx="2599690" cy="236220"/>
                    </a:xfrm>
                    <a:prstGeom prst="rect">
                      <a:avLst/>
                    </a:prstGeom>
                    <a:noFill/>
                    <a:ln w="9525">
                      <a:noFill/>
                      <a:miter/>
                    </a:ln>
                  </pic:spPr>
                </pic:pic>
              </a:graphicData>
            </a:graphic>
          </wp:inline>
        </w:drawing>
      </w:r>
    </w:p>
    <w:p>
      <w:pPr>
        <w:adjustRightInd w:val="0"/>
        <w:snapToGrid w:val="0"/>
        <w:spacing w:line="360" w:lineRule="auto"/>
        <w:ind w:firstLine="480" w:firstLineChars="200"/>
        <w:rPr>
          <w:sz w:val="24"/>
        </w:rPr>
      </w:pPr>
      <w:r>
        <w:rPr>
          <w:sz w:val="24"/>
        </w:rPr>
        <w:t>式中：</w:t>
      </w:r>
      <w:r>
        <w:rPr>
          <w:sz w:val="24"/>
        </w:rPr>
        <w:drawing>
          <wp:inline distT="0" distB="0" distL="114300" distR="114300">
            <wp:extent cx="312420" cy="236220"/>
            <wp:effectExtent l="0" t="0" r="7620" b="6350"/>
            <wp:docPr id="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7"/>
                    <pic:cNvPicPr>
                      <a:picLocks noChangeAspect="1"/>
                    </pic:cNvPicPr>
                  </pic:nvPicPr>
                  <pic:blipFill>
                    <a:blip r:embed="rId43"/>
                    <a:srcRect/>
                    <a:stretch>
                      <a:fillRect/>
                    </a:stretch>
                  </pic:blipFill>
                  <pic:spPr>
                    <a:xfrm>
                      <a:off x="0" y="0"/>
                      <a:ext cx="312420" cy="236220"/>
                    </a:xfrm>
                    <a:prstGeom prst="rect">
                      <a:avLst/>
                    </a:prstGeom>
                    <a:noFill/>
                    <a:ln w="9525">
                      <a:noFill/>
                      <a:miter/>
                    </a:ln>
                  </pic:spPr>
                </pic:pic>
              </a:graphicData>
            </a:graphic>
          </wp:inline>
        </w:drawing>
      </w:r>
      <w:r>
        <w:rPr>
          <w:sz w:val="24"/>
        </w:rPr>
        <w:t xml:space="preserve">—r处的噪声级，dB(A)； </w:t>
      </w:r>
    </w:p>
    <w:p>
      <w:pPr>
        <w:adjustRightInd w:val="0"/>
        <w:snapToGrid w:val="0"/>
        <w:spacing w:line="360" w:lineRule="auto"/>
        <w:ind w:firstLine="480" w:firstLineChars="200"/>
        <w:rPr>
          <w:sz w:val="24"/>
        </w:rPr>
      </w:pPr>
      <w:r>
        <w:rPr>
          <w:sz w:val="24"/>
        </w:rPr>
        <w:drawing>
          <wp:inline distT="0" distB="0" distL="114300" distR="114300">
            <wp:extent cx="487680" cy="236220"/>
            <wp:effectExtent l="0" t="0" r="0" b="6350"/>
            <wp:docPr id="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8"/>
                    <pic:cNvPicPr>
                      <a:picLocks noChangeAspect="1"/>
                    </pic:cNvPicPr>
                  </pic:nvPicPr>
                  <pic:blipFill>
                    <a:blip r:embed="rId44"/>
                    <a:srcRect/>
                    <a:stretch>
                      <a:fillRect/>
                    </a:stretch>
                  </pic:blipFill>
                  <pic:spPr>
                    <a:xfrm>
                      <a:off x="0" y="0"/>
                      <a:ext cx="487680" cy="236220"/>
                    </a:xfrm>
                    <a:prstGeom prst="rect">
                      <a:avLst/>
                    </a:prstGeom>
                    <a:noFill/>
                    <a:ln w="9525">
                      <a:noFill/>
                      <a:miter/>
                    </a:ln>
                  </pic:spPr>
                </pic:pic>
              </a:graphicData>
            </a:graphic>
          </wp:inline>
        </w:drawing>
      </w:r>
      <w:r>
        <w:rPr>
          <w:sz w:val="24"/>
        </w:rPr>
        <w:t>—参考位置ro处的噪声级，dB(A)；</w:t>
      </w:r>
    </w:p>
    <w:p>
      <w:pPr>
        <w:adjustRightInd w:val="0"/>
        <w:snapToGrid w:val="0"/>
        <w:spacing w:line="360" w:lineRule="auto"/>
        <w:ind w:firstLine="480" w:firstLineChars="200"/>
        <w:rPr>
          <w:sz w:val="24"/>
        </w:rPr>
      </w:pPr>
      <w:r>
        <w:rPr>
          <w:sz w:val="24"/>
        </w:rPr>
        <w:drawing>
          <wp:inline distT="0" distB="0" distL="114300" distR="114300">
            <wp:extent cx="266700" cy="228600"/>
            <wp:effectExtent l="0" t="0" r="7620" b="0"/>
            <wp:docPr id="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9"/>
                    <pic:cNvPicPr>
                      <a:picLocks noChangeAspect="1"/>
                    </pic:cNvPicPr>
                  </pic:nvPicPr>
                  <pic:blipFill>
                    <a:blip r:embed="rId45"/>
                    <a:srcRect/>
                    <a:stretch>
                      <a:fillRect/>
                    </a:stretch>
                  </pic:blipFill>
                  <pic:spPr>
                    <a:xfrm>
                      <a:off x="0" y="0"/>
                      <a:ext cx="266700" cy="228600"/>
                    </a:xfrm>
                    <a:prstGeom prst="rect">
                      <a:avLst/>
                    </a:prstGeom>
                    <a:noFill/>
                    <a:ln w="9525">
                      <a:noFill/>
                      <a:miter/>
                    </a:ln>
                  </pic:spPr>
                </pic:pic>
              </a:graphicData>
            </a:graphic>
          </wp:inline>
        </w:drawing>
      </w:r>
      <w:r>
        <w:rPr>
          <w:sz w:val="24"/>
        </w:rPr>
        <w:t>—声波几何发散引起的A声级衰减量，dB(A)；</w:t>
      </w:r>
    </w:p>
    <w:p>
      <w:pPr>
        <w:adjustRightInd w:val="0"/>
        <w:snapToGrid w:val="0"/>
        <w:spacing w:line="360" w:lineRule="auto"/>
        <w:ind w:firstLine="480" w:firstLineChars="200"/>
        <w:rPr>
          <w:sz w:val="24"/>
        </w:rPr>
      </w:pPr>
      <w:r>
        <w:rPr>
          <w:sz w:val="24"/>
        </w:rPr>
        <w:drawing>
          <wp:inline distT="0" distB="0" distL="114300" distR="114300">
            <wp:extent cx="266700" cy="228600"/>
            <wp:effectExtent l="0" t="0" r="7620" b="0"/>
            <wp:docPr id="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0"/>
                    <pic:cNvPicPr>
                      <a:picLocks noChangeAspect="1"/>
                    </pic:cNvPicPr>
                  </pic:nvPicPr>
                  <pic:blipFill>
                    <a:blip r:embed="rId46"/>
                    <a:srcRect/>
                    <a:stretch>
                      <a:fillRect/>
                    </a:stretch>
                  </pic:blipFill>
                  <pic:spPr>
                    <a:xfrm>
                      <a:off x="0" y="0"/>
                      <a:ext cx="266700" cy="228600"/>
                    </a:xfrm>
                    <a:prstGeom prst="rect">
                      <a:avLst/>
                    </a:prstGeom>
                    <a:noFill/>
                    <a:ln w="9525">
                      <a:noFill/>
                      <a:miter/>
                    </a:ln>
                  </pic:spPr>
                </pic:pic>
              </a:graphicData>
            </a:graphic>
          </wp:inline>
        </w:drawing>
      </w:r>
      <w:r>
        <w:rPr>
          <w:sz w:val="24"/>
        </w:rPr>
        <w:t>—遮挡物引起的A声级衰减量，dB(A)；</w:t>
      </w:r>
    </w:p>
    <w:p>
      <w:pPr>
        <w:adjustRightInd w:val="0"/>
        <w:snapToGrid w:val="0"/>
        <w:spacing w:line="360" w:lineRule="auto"/>
        <w:ind w:firstLine="480" w:firstLineChars="200"/>
        <w:rPr>
          <w:sz w:val="24"/>
        </w:rPr>
      </w:pPr>
      <w:r>
        <w:rPr>
          <w:sz w:val="24"/>
        </w:rPr>
        <w:drawing>
          <wp:inline distT="0" distB="0" distL="114300" distR="114300">
            <wp:extent cx="274320" cy="228600"/>
            <wp:effectExtent l="0" t="0" r="0" b="0"/>
            <wp:docPr id="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1"/>
                    <pic:cNvPicPr>
                      <a:picLocks noChangeAspect="1"/>
                    </pic:cNvPicPr>
                  </pic:nvPicPr>
                  <pic:blipFill>
                    <a:blip r:embed="rId47"/>
                    <a:srcRect/>
                    <a:stretch>
                      <a:fillRect/>
                    </a:stretch>
                  </pic:blipFill>
                  <pic:spPr>
                    <a:xfrm>
                      <a:off x="0" y="0"/>
                      <a:ext cx="274320" cy="228600"/>
                    </a:xfrm>
                    <a:prstGeom prst="rect">
                      <a:avLst/>
                    </a:prstGeom>
                    <a:noFill/>
                    <a:ln w="9525">
                      <a:noFill/>
                      <a:miter/>
                    </a:ln>
                  </pic:spPr>
                </pic:pic>
              </a:graphicData>
            </a:graphic>
          </wp:inline>
        </w:drawing>
      </w:r>
      <w:r>
        <w:rPr>
          <w:sz w:val="24"/>
        </w:rPr>
        <w:t>—空气吸收衰减量，dB(A)；</w:t>
      </w:r>
    </w:p>
    <w:p>
      <w:pPr>
        <w:adjustRightInd w:val="0"/>
        <w:snapToGrid w:val="0"/>
        <w:spacing w:line="360" w:lineRule="auto"/>
        <w:ind w:firstLine="480" w:firstLineChars="200"/>
        <w:rPr>
          <w:sz w:val="24"/>
        </w:rPr>
      </w:pPr>
      <w:r>
        <w:rPr>
          <w:sz w:val="24"/>
        </w:rPr>
        <w:drawing>
          <wp:inline distT="0" distB="0" distL="114300" distR="114300">
            <wp:extent cx="266700" cy="228600"/>
            <wp:effectExtent l="0" t="0" r="7620" b="0"/>
            <wp:docPr id="1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2"/>
                    <pic:cNvPicPr>
                      <a:picLocks noChangeAspect="1"/>
                    </pic:cNvPicPr>
                  </pic:nvPicPr>
                  <pic:blipFill>
                    <a:blip r:embed="rId48"/>
                    <a:srcRect/>
                    <a:stretch>
                      <a:fillRect/>
                    </a:stretch>
                  </pic:blipFill>
                  <pic:spPr>
                    <a:xfrm>
                      <a:off x="0" y="0"/>
                      <a:ext cx="266700" cy="228600"/>
                    </a:xfrm>
                    <a:prstGeom prst="rect">
                      <a:avLst/>
                    </a:prstGeom>
                    <a:noFill/>
                    <a:ln w="9525">
                      <a:noFill/>
                      <a:miter/>
                    </a:ln>
                  </pic:spPr>
                </pic:pic>
              </a:graphicData>
            </a:graphic>
          </wp:inline>
        </w:drawing>
      </w:r>
      <w:r>
        <w:rPr>
          <w:sz w:val="24"/>
        </w:rPr>
        <w:t>—附加衰减量，dB(A)；</w:t>
      </w:r>
    </w:p>
    <w:p>
      <w:pPr>
        <w:adjustRightInd w:val="0"/>
        <w:snapToGrid w:val="0"/>
        <w:spacing w:line="360" w:lineRule="auto"/>
        <w:ind w:firstLine="480" w:firstLineChars="200"/>
        <w:rPr>
          <w:sz w:val="24"/>
        </w:rPr>
      </w:pPr>
      <w:r>
        <w:rPr>
          <w:sz w:val="24"/>
        </w:rPr>
        <w:t>（2）室内声源在预测点的声压级计算</w:t>
      </w:r>
    </w:p>
    <w:p>
      <w:pPr>
        <w:adjustRightInd w:val="0"/>
        <w:snapToGrid w:val="0"/>
        <w:spacing w:line="360" w:lineRule="auto"/>
        <w:ind w:firstLine="480" w:firstLineChars="200"/>
        <w:rPr>
          <w:sz w:val="24"/>
        </w:rPr>
      </w:pPr>
      <w:r>
        <w:rPr>
          <w:sz w:val="24"/>
        </w:rPr>
        <w:fldChar w:fldCharType="begin"/>
      </w:r>
      <w:r>
        <w:rPr>
          <w:sz w:val="24"/>
        </w:rPr>
        <w:instrText xml:space="preserve"> = 1 \* GB3 </w:instrText>
      </w:r>
      <w:r>
        <w:rPr>
          <w:sz w:val="24"/>
        </w:rPr>
        <w:fldChar w:fldCharType="separate"/>
      </w:r>
      <w:r>
        <w:rPr>
          <w:rFonts w:hint="eastAsia"/>
          <w:sz w:val="24"/>
        </w:rPr>
        <w:t>①</w:t>
      </w:r>
      <w:r>
        <w:rPr>
          <w:sz w:val="24"/>
        </w:rPr>
        <w:fldChar w:fldCharType="end"/>
      </w:r>
      <w:r>
        <w:rPr>
          <w:sz w:val="24"/>
        </w:rPr>
        <w:t>首先计算出室内靠近围护结构处的倍频带声压级</w:t>
      </w:r>
    </w:p>
    <w:p>
      <w:pPr>
        <w:adjustRightInd w:val="0"/>
        <w:snapToGrid w:val="0"/>
        <w:spacing w:line="360" w:lineRule="auto"/>
        <w:ind w:firstLine="480" w:firstLineChars="200"/>
        <w:jc w:val="center"/>
        <w:rPr>
          <w:sz w:val="24"/>
        </w:rPr>
      </w:pPr>
      <w:r>
        <w:rPr>
          <w:sz w:val="24"/>
        </w:rPr>
        <w:drawing>
          <wp:inline distT="0" distB="0" distL="114300" distR="114300">
            <wp:extent cx="1896745" cy="487680"/>
            <wp:effectExtent l="0" t="0" r="8255" b="0"/>
            <wp:docPr id="1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3"/>
                    <pic:cNvPicPr>
                      <a:picLocks noChangeAspect="1"/>
                    </pic:cNvPicPr>
                  </pic:nvPicPr>
                  <pic:blipFill>
                    <a:blip r:embed="rId49"/>
                    <a:srcRect/>
                    <a:stretch>
                      <a:fillRect/>
                    </a:stretch>
                  </pic:blipFill>
                  <pic:spPr>
                    <a:xfrm>
                      <a:off x="0" y="0"/>
                      <a:ext cx="1896745" cy="487680"/>
                    </a:xfrm>
                    <a:prstGeom prst="rect">
                      <a:avLst/>
                    </a:prstGeom>
                    <a:noFill/>
                    <a:ln w="9525">
                      <a:noFill/>
                      <a:miter/>
                    </a:ln>
                  </pic:spPr>
                </pic:pic>
              </a:graphicData>
            </a:graphic>
          </wp:inline>
        </w:drawing>
      </w:r>
    </w:p>
    <w:p>
      <w:pPr>
        <w:adjustRightInd w:val="0"/>
        <w:snapToGrid w:val="0"/>
        <w:spacing w:line="360" w:lineRule="auto"/>
        <w:ind w:firstLine="480" w:firstLineChars="200"/>
        <w:rPr>
          <w:sz w:val="24"/>
        </w:rPr>
      </w:pPr>
      <w:r>
        <w:rPr>
          <w:sz w:val="24"/>
        </w:rPr>
        <w:t>式中：Loct,1 — 某个室内靠近围护结构处产生的倍频带声压级；</w:t>
      </w:r>
    </w:p>
    <w:p>
      <w:pPr>
        <w:adjustRightInd w:val="0"/>
        <w:snapToGrid w:val="0"/>
        <w:spacing w:line="360" w:lineRule="auto"/>
        <w:ind w:firstLine="480" w:firstLineChars="200"/>
        <w:rPr>
          <w:sz w:val="24"/>
        </w:rPr>
      </w:pPr>
      <w:r>
        <w:rPr>
          <w:sz w:val="24"/>
        </w:rPr>
        <w:t>Lwoct — 某个声源的倍频带声压级；</w:t>
      </w:r>
    </w:p>
    <w:p>
      <w:pPr>
        <w:adjustRightInd w:val="0"/>
        <w:snapToGrid w:val="0"/>
        <w:spacing w:line="360" w:lineRule="auto"/>
        <w:ind w:firstLine="480" w:firstLineChars="200"/>
        <w:rPr>
          <w:sz w:val="24"/>
        </w:rPr>
      </w:pPr>
      <w:r>
        <w:rPr>
          <w:sz w:val="24"/>
        </w:rPr>
        <w:t>r1 — 某个声源与围护结构处的距离；</w:t>
      </w:r>
    </w:p>
    <w:p>
      <w:pPr>
        <w:adjustRightInd w:val="0"/>
        <w:snapToGrid w:val="0"/>
        <w:spacing w:line="360" w:lineRule="auto"/>
        <w:ind w:firstLine="480" w:firstLineChars="200"/>
        <w:rPr>
          <w:sz w:val="24"/>
        </w:rPr>
      </w:pPr>
      <w:r>
        <w:rPr>
          <w:sz w:val="24"/>
        </w:rPr>
        <w:t>R — 房间常数；</w:t>
      </w:r>
    </w:p>
    <w:p>
      <w:pPr>
        <w:adjustRightInd w:val="0"/>
        <w:snapToGrid w:val="0"/>
        <w:spacing w:line="360" w:lineRule="auto"/>
        <w:ind w:firstLine="480" w:firstLineChars="200"/>
        <w:rPr>
          <w:sz w:val="24"/>
        </w:rPr>
      </w:pPr>
      <w:r>
        <w:rPr>
          <w:sz w:val="24"/>
        </w:rPr>
        <w:t>Q — 方向性因子；</w:t>
      </w:r>
    </w:p>
    <w:p>
      <w:pPr>
        <w:adjustRightInd w:val="0"/>
        <w:snapToGrid w:val="0"/>
        <w:spacing w:line="360" w:lineRule="auto"/>
        <w:ind w:firstLine="480" w:firstLineChars="200"/>
        <w:rPr>
          <w:sz w:val="24"/>
        </w:rPr>
      </w:pPr>
      <w:r>
        <w:rPr>
          <w:sz w:val="24"/>
        </w:rPr>
        <w:fldChar w:fldCharType="begin"/>
      </w:r>
      <w:r>
        <w:rPr>
          <w:sz w:val="24"/>
        </w:rPr>
        <w:instrText xml:space="preserve"> = 2 \* GB3 </w:instrText>
      </w:r>
      <w:r>
        <w:rPr>
          <w:sz w:val="24"/>
        </w:rPr>
        <w:fldChar w:fldCharType="separate"/>
      </w:r>
      <w:r>
        <w:rPr>
          <w:rFonts w:hint="eastAsia"/>
          <w:sz w:val="24"/>
        </w:rPr>
        <w:t>②</w:t>
      </w:r>
      <w:r>
        <w:rPr>
          <w:sz w:val="24"/>
        </w:rPr>
        <w:fldChar w:fldCharType="end"/>
      </w:r>
      <w:r>
        <w:rPr>
          <w:sz w:val="24"/>
        </w:rPr>
        <w:t>计算出所有室内声源靠近围护结构处产生的总倍频带声压级</w:t>
      </w:r>
    </w:p>
    <w:p>
      <w:pPr>
        <w:adjustRightInd w:val="0"/>
        <w:snapToGrid w:val="0"/>
        <w:spacing w:line="360" w:lineRule="auto"/>
        <w:ind w:firstLine="480" w:firstLineChars="200"/>
        <w:jc w:val="center"/>
        <w:rPr>
          <w:sz w:val="24"/>
        </w:rPr>
      </w:pPr>
      <w:r>
        <w:rPr>
          <w:sz w:val="24"/>
        </w:rPr>
        <w:drawing>
          <wp:inline distT="0" distB="0" distL="114300" distR="114300">
            <wp:extent cx="1791335" cy="426720"/>
            <wp:effectExtent l="0" t="0" r="0" b="0"/>
            <wp:docPr id="1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4"/>
                    <pic:cNvPicPr>
                      <a:picLocks noChangeAspect="1"/>
                    </pic:cNvPicPr>
                  </pic:nvPicPr>
                  <pic:blipFill>
                    <a:blip r:embed="rId50"/>
                    <a:srcRect/>
                    <a:stretch>
                      <a:fillRect/>
                    </a:stretch>
                  </pic:blipFill>
                  <pic:spPr>
                    <a:xfrm>
                      <a:off x="0" y="0"/>
                      <a:ext cx="1791335" cy="426720"/>
                    </a:xfrm>
                    <a:prstGeom prst="rect">
                      <a:avLst/>
                    </a:prstGeom>
                    <a:noFill/>
                    <a:ln w="9525">
                      <a:noFill/>
                      <a:miter/>
                    </a:ln>
                  </pic:spPr>
                </pic:pic>
              </a:graphicData>
            </a:graphic>
          </wp:inline>
        </w:drawing>
      </w:r>
    </w:p>
    <w:p>
      <w:pPr>
        <w:adjustRightInd w:val="0"/>
        <w:snapToGrid w:val="0"/>
        <w:spacing w:line="360" w:lineRule="auto"/>
        <w:ind w:firstLine="480" w:firstLineChars="200"/>
        <w:rPr>
          <w:sz w:val="24"/>
        </w:rPr>
      </w:pPr>
      <w:r>
        <w:rPr>
          <w:sz w:val="24"/>
        </w:rPr>
        <w:fldChar w:fldCharType="begin"/>
      </w:r>
      <w:r>
        <w:rPr>
          <w:sz w:val="24"/>
        </w:rPr>
        <w:instrText xml:space="preserve"> = 3 \* GB3 </w:instrText>
      </w:r>
      <w:r>
        <w:rPr>
          <w:sz w:val="24"/>
        </w:rPr>
        <w:fldChar w:fldCharType="separate"/>
      </w:r>
      <w:r>
        <w:rPr>
          <w:rFonts w:hint="eastAsia"/>
          <w:sz w:val="24"/>
        </w:rPr>
        <w:t>③</w:t>
      </w:r>
      <w:r>
        <w:rPr>
          <w:sz w:val="24"/>
        </w:rPr>
        <w:fldChar w:fldCharType="end"/>
      </w:r>
      <w:r>
        <w:rPr>
          <w:sz w:val="24"/>
        </w:rPr>
        <w:t>计算出所有室内声源在靠近围护结构处产生的总倍频带声压级</w:t>
      </w:r>
    </w:p>
    <w:p>
      <w:pPr>
        <w:adjustRightInd w:val="0"/>
        <w:snapToGrid w:val="0"/>
        <w:spacing w:line="360" w:lineRule="auto"/>
        <w:ind w:firstLine="480" w:firstLineChars="200"/>
        <w:jc w:val="center"/>
        <w:rPr>
          <w:sz w:val="24"/>
        </w:rPr>
      </w:pPr>
      <w:r>
        <w:rPr>
          <w:sz w:val="24"/>
        </w:rPr>
        <w:drawing>
          <wp:inline distT="0" distB="0" distL="114300" distR="114300">
            <wp:extent cx="2064385" cy="236220"/>
            <wp:effectExtent l="0" t="0" r="8255" b="6985"/>
            <wp:docPr id="1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5"/>
                    <pic:cNvPicPr>
                      <a:picLocks noChangeAspect="1"/>
                    </pic:cNvPicPr>
                  </pic:nvPicPr>
                  <pic:blipFill>
                    <a:blip r:embed="rId51"/>
                    <a:srcRect/>
                    <a:stretch>
                      <a:fillRect/>
                    </a:stretch>
                  </pic:blipFill>
                  <pic:spPr>
                    <a:xfrm>
                      <a:off x="0" y="0"/>
                      <a:ext cx="2064385" cy="236220"/>
                    </a:xfrm>
                    <a:prstGeom prst="rect">
                      <a:avLst/>
                    </a:prstGeom>
                    <a:noFill/>
                    <a:ln w="9525">
                      <a:noFill/>
                      <a:miter/>
                    </a:ln>
                  </pic:spPr>
                </pic:pic>
              </a:graphicData>
            </a:graphic>
          </wp:inline>
        </w:drawing>
      </w:r>
    </w:p>
    <w:p>
      <w:pPr>
        <w:adjustRightInd w:val="0"/>
        <w:snapToGrid w:val="0"/>
        <w:spacing w:line="360" w:lineRule="auto"/>
        <w:ind w:firstLine="480" w:firstLineChars="200"/>
        <w:rPr>
          <w:sz w:val="24"/>
        </w:rPr>
      </w:pPr>
      <w:r>
        <w:rPr>
          <w:sz w:val="24"/>
        </w:rPr>
        <w:fldChar w:fldCharType="begin"/>
      </w:r>
      <w:r>
        <w:rPr>
          <w:sz w:val="24"/>
        </w:rPr>
        <w:instrText xml:space="preserve"> = 4 \* GB3 </w:instrText>
      </w:r>
      <w:r>
        <w:rPr>
          <w:sz w:val="24"/>
        </w:rPr>
        <w:fldChar w:fldCharType="separate"/>
      </w:r>
      <w:r>
        <w:rPr>
          <w:rFonts w:hint="eastAsia"/>
          <w:sz w:val="24"/>
        </w:rPr>
        <w:t>④</w:t>
      </w:r>
      <w:r>
        <w:rPr>
          <w:sz w:val="24"/>
        </w:rPr>
        <w:fldChar w:fldCharType="end"/>
      </w:r>
      <w:r>
        <w:rPr>
          <w:sz w:val="24"/>
        </w:rPr>
        <w:t>将室外声级</w:t>
      </w:r>
      <w:r>
        <w:rPr>
          <w:sz w:val="24"/>
        </w:rPr>
        <w:drawing>
          <wp:inline distT="0" distB="0" distL="114300" distR="114300">
            <wp:extent cx="525780" cy="236220"/>
            <wp:effectExtent l="0" t="0" r="7620" b="6985"/>
            <wp:docPr id="1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6"/>
                    <pic:cNvPicPr>
                      <a:picLocks noChangeAspect="1"/>
                    </pic:cNvPicPr>
                  </pic:nvPicPr>
                  <pic:blipFill>
                    <a:blip r:embed="rId52"/>
                    <a:srcRect/>
                    <a:stretch>
                      <a:fillRect/>
                    </a:stretch>
                  </pic:blipFill>
                  <pic:spPr>
                    <a:xfrm>
                      <a:off x="0" y="0"/>
                      <a:ext cx="525780" cy="236220"/>
                    </a:xfrm>
                    <a:prstGeom prst="rect">
                      <a:avLst/>
                    </a:prstGeom>
                    <a:noFill/>
                    <a:ln w="9525">
                      <a:noFill/>
                      <a:miter/>
                    </a:ln>
                  </pic:spPr>
                </pic:pic>
              </a:graphicData>
            </a:graphic>
          </wp:inline>
        </w:drawing>
      </w:r>
      <w:r>
        <w:rPr>
          <w:sz w:val="24"/>
        </w:rPr>
        <w:t>和透声面积换算成等效的室外声源，计算出等效声源第i个倍频带的声功率级</w:t>
      </w:r>
      <w:r>
        <w:rPr>
          <w:sz w:val="24"/>
        </w:rPr>
        <w:drawing>
          <wp:inline distT="0" distB="0" distL="114300" distR="114300">
            <wp:extent cx="304800" cy="228600"/>
            <wp:effectExtent l="0" t="0" r="0" b="0"/>
            <wp:docPr id="1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7"/>
                    <pic:cNvPicPr>
                      <a:picLocks noChangeAspect="1"/>
                    </pic:cNvPicPr>
                  </pic:nvPicPr>
                  <pic:blipFill>
                    <a:blip r:embed="rId53"/>
                    <a:srcRect/>
                    <a:stretch>
                      <a:fillRect/>
                    </a:stretch>
                  </pic:blipFill>
                  <pic:spPr>
                    <a:xfrm>
                      <a:off x="0" y="0"/>
                      <a:ext cx="304800" cy="228600"/>
                    </a:xfrm>
                    <a:prstGeom prst="rect">
                      <a:avLst/>
                    </a:prstGeom>
                    <a:noFill/>
                    <a:ln w="9525">
                      <a:noFill/>
                      <a:miter/>
                    </a:ln>
                  </pic:spPr>
                </pic:pic>
              </a:graphicData>
            </a:graphic>
          </wp:inline>
        </w:drawing>
      </w:r>
    </w:p>
    <w:p>
      <w:pPr>
        <w:adjustRightInd w:val="0"/>
        <w:snapToGrid w:val="0"/>
        <w:spacing w:line="360" w:lineRule="auto"/>
        <w:ind w:firstLine="480" w:firstLineChars="200"/>
        <w:jc w:val="center"/>
        <w:rPr>
          <w:sz w:val="24"/>
        </w:rPr>
      </w:pPr>
      <w:r>
        <w:rPr>
          <w:sz w:val="24"/>
        </w:rPr>
        <w:drawing>
          <wp:inline distT="0" distB="0" distL="114300" distR="114300">
            <wp:extent cx="1478280" cy="236220"/>
            <wp:effectExtent l="0" t="0" r="0" b="6985"/>
            <wp:docPr id="1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8"/>
                    <pic:cNvPicPr>
                      <a:picLocks noChangeAspect="1"/>
                    </pic:cNvPicPr>
                  </pic:nvPicPr>
                  <pic:blipFill>
                    <a:blip r:embed="rId54"/>
                    <a:srcRect/>
                    <a:stretch>
                      <a:fillRect/>
                    </a:stretch>
                  </pic:blipFill>
                  <pic:spPr>
                    <a:xfrm>
                      <a:off x="0" y="0"/>
                      <a:ext cx="1478280" cy="236220"/>
                    </a:xfrm>
                    <a:prstGeom prst="rect">
                      <a:avLst/>
                    </a:prstGeom>
                    <a:noFill/>
                    <a:ln w="9525">
                      <a:noFill/>
                      <a:miter/>
                    </a:ln>
                  </pic:spPr>
                </pic:pic>
              </a:graphicData>
            </a:graphic>
          </wp:inline>
        </w:drawing>
      </w:r>
    </w:p>
    <w:p>
      <w:pPr>
        <w:adjustRightInd w:val="0"/>
        <w:snapToGrid w:val="0"/>
        <w:spacing w:line="360" w:lineRule="auto"/>
        <w:ind w:firstLine="480" w:firstLineChars="200"/>
        <w:rPr>
          <w:sz w:val="24"/>
        </w:rPr>
      </w:pPr>
      <w:r>
        <w:rPr>
          <w:sz w:val="24"/>
        </w:rPr>
        <w:t>式中：S为透声面积，m</w:t>
      </w:r>
      <w:r>
        <w:rPr>
          <w:sz w:val="24"/>
          <w:vertAlign w:val="superscript"/>
        </w:rPr>
        <w:t>2</w:t>
      </w:r>
      <w:r>
        <w:rPr>
          <w:sz w:val="24"/>
        </w:rPr>
        <w:t>。</w:t>
      </w:r>
    </w:p>
    <w:p>
      <w:pPr>
        <w:adjustRightInd w:val="0"/>
        <w:snapToGrid w:val="0"/>
        <w:spacing w:line="360" w:lineRule="auto"/>
        <w:ind w:firstLine="480" w:firstLineChars="200"/>
        <w:rPr>
          <w:sz w:val="24"/>
        </w:rPr>
      </w:pPr>
      <w:r>
        <w:rPr>
          <w:sz w:val="24"/>
        </w:rPr>
        <w:fldChar w:fldCharType="begin"/>
      </w:r>
      <w:r>
        <w:rPr>
          <w:sz w:val="24"/>
        </w:rPr>
        <w:instrText xml:space="preserve"> = 5 \* GB3 </w:instrText>
      </w:r>
      <w:r>
        <w:rPr>
          <w:sz w:val="24"/>
        </w:rPr>
        <w:fldChar w:fldCharType="separate"/>
      </w:r>
      <w:r>
        <w:rPr>
          <w:rFonts w:hint="eastAsia"/>
          <w:sz w:val="24"/>
        </w:rPr>
        <w:t>⑤</w:t>
      </w:r>
      <w:r>
        <w:rPr>
          <w:sz w:val="24"/>
        </w:rPr>
        <w:fldChar w:fldCharType="end"/>
      </w:r>
      <w:r>
        <w:rPr>
          <w:sz w:val="24"/>
        </w:rPr>
        <w:t>等效室外声源的位置为围护结构的位置，其倍频声功率级为</w:t>
      </w:r>
      <w:r>
        <w:rPr>
          <w:sz w:val="24"/>
        </w:rPr>
        <w:drawing>
          <wp:inline distT="0" distB="0" distL="114300" distR="114300">
            <wp:extent cx="304800" cy="228600"/>
            <wp:effectExtent l="0" t="0" r="0" b="0"/>
            <wp:docPr id="1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9"/>
                    <pic:cNvPicPr>
                      <a:picLocks noChangeAspect="1"/>
                    </pic:cNvPicPr>
                  </pic:nvPicPr>
                  <pic:blipFill>
                    <a:blip r:embed="rId55"/>
                    <a:srcRect/>
                    <a:stretch>
                      <a:fillRect/>
                    </a:stretch>
                  </pic:blipFill>
                  <pic:spPr>
                    <a:xfrm>
                      <a:off x="0" y="0"/>
                      <a:ext cx="304800" cy="228600"/>
                    </a:xfrm>
                    <a:prstGeom prst="rect">
                      <a:avLst/>
                    </a:prstGeom>
                    <a:noFill/>
                    <a:ln w="9525">
                      <a:noFill/>
                      <a:miter/>
                    </a:ln>
                  </pic:spPr>
                </pic:pic>
              </a:graphicData>
            </a:graphic>
          </wp:inline>
        </w:drawing>
      </w:r>
      <w:r>
        <w:rPr>
          <w:sz w:val="24"/>
        </w:rPr>
        <w:t>，由此按室外声源方法计算等效室外声源的预测点产生的声级。</w:t>
      </w:r>
    </w:p>
    <w:p>
      <w:pPr>
        <w:adjustRightInd w:val="0"/>
        <w:snapToGrid w:val="0"/>
        <w:spacing w:line="360" w:lineRule="auto"/>
        <w:ind w:firstLine="480" w:firstLineChars="200"/>
        <w:rPr>
          <w:sz w:val="24"/>
        </w:rPr>
      </w:pPr>
      <w:r>
        <w:rPr>
          <w:sz w:val="24"/>
        </w:rPr>
        <w:t>（3）总声压级的计算</w:t>
      </w:r>
    </w:p>
    <w:p>
      <w:pPr>
        <w:adjustRightInd w:val="0"/>
        <w:snapToGrid w:val="0"/>
        <w:spacing w:line="360" w:lineRule="auto"/>
        <w:ind w:firstLine="480" w:firstLineChars="200"/>
        <w:rPr>
          <w:sz w:val="24"/>
        </w:rPr>
      </w:pPr>
      <w:r>
        <w:rPr>
          <w:sz w:val="24"/>
        </w:rPr>
        <w:t>设第i个室外声源在预测点产生的A声级为LAin,I，在T时间内该声源工作时为tin,i；第j个等效室外声源在预测点产生的A声级为LAout,j， 在T时间内该声源工作时为tin,j，则预测点的总声压级为：</w:t>
      </w:r>
    </w:p>
    <w:p>
      <w:pPr>
        <w:adjustRightInd w:val="0"/>
        <w:snapToGrid w:val="0"/>
        <w:spacing w:line="360" w:lineRule="auto"/>
        <w:ind w:firstLine="480" w:firstLineChars="200"/>
        <w:jc w:val="center"/>
        <w:rPr>
          <w:sz w:val="24"/>
        </w:rPr>
      </w:pPr>
      <w:r>
        <w:rPr>
          <w:sz w:val="24"/>
        </w:rPr>
        <w:drawing>
          <wp:inline distT="0" distB="0" distL="114300" distR="114300">
            <wp:extent cx="3162300" cy="655320"/>
            <wp:effectExtent l="0" t="0" r="7620" b="0"/>
            <wp:docPr id="1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0"/>
                    <pic:cNvPicPr>
                      <a:picLocks noChangeAspect="1"/>
                    </pic:cNvPicPr>
                  </pic:nvPicPr>
                  <pic:blipFill>
                    <a:blip r:embed="rId56"/>
                    <a:srcRect/>
                    <a:stretch>
                      <a:fillRect/>
                    </a:stretch>
                  </pic:blipFill>
                  <pic:spPr>
                    <a:xfrm>
                      <a:off x="0" y="0"/>
                      <a:ext cx="3162300" cy="655320"/>
                    </a:xfrm>
                    <a:prstGeom prst="rect">
                      <a:avLst/>
                    </a:prstGeom>
                    <a:noFill/>
                    <a:ln w="9525">
                      <a:noFill/>
                      <a:miter/>
                    </a:ln>
                  </pic:spPr>
                </pic:pic>
              </a:graphicData>
            </a:graphic>
          </wp:inline>
        </w:drawing>
      </w:r>
    </w:p>
    <w:p>
      <w:pPr>
        <w:adjustRightInd w:val="0"/>
        <w:snapToGrid w:val="0"/>
        <w:spacing w:line="360" w:lineRule="auto"/>
        <w:ind w:firstLine="480" w:firstLineChars="200"/>
        <w:rPr>
          <w:sz w:val="24"/>
        </w:rPr>
      </w:pPr>
      <w:r>
        <w:rPr>
          <w:sz w:val="24"/>
        </w:rPr>
        <w:t>式中：T—计算等效声级的时间；</w:t>
      </w:r>
    </w:p>
    <w:p>
      <w:pPr>
        <w:adjustRightInd w:val="0"/>
        <w:snapToGrid w:val="0"/>
        <w:spacing w:line="360" w:lineRule="auto"/>
        <w:ind w:firstLine="480" w:firstLineChars="200"/>
        <w:rPr>
          <w:sz w:val="24"/>
        </w:rPr>
      </w:pPr>
      <w:r>
        <w:rPr>
          <w:sz w:val="24"/>
        </w:rPr>
        <w:t>n — 室外声源的个数；</w:t>
      </w:r>
    </w:p>
    <w:p>
      <w:pPr>
        <w:adjustRightInd w:val="0"/>
        <w:snapToGrid w:val="0"/>
        <w:spacing w:line="360" w:lineRule="auto"/>
        <w:ind w:firstLine="480" w:firstLineChars="200"/>
        <w:rPr>
          <w:sz w:val="24"/>
        </w:rPr>
      </w:pPr>
      <w:r>
        <w:rPr>
          <w:sz w:val="24"/>
        </w:rPr>
        <w:t>m — 等效室外声源的个数；</w:t>
      </w:r>
      <w:bookmarkStart w:id="132" w:name="_Toc61966973"/>
    </w:p>
    <w:p>
      <w:pPr>
        <w:adjustRightInd w:val="0"/>
        <w:snapToGrid w:val="0"/>
        <w:spacing w:line="360" w:lineRule="auto"/>
        <w:ind w:firstLine="480" w:firstLineChars="200"/>
        <w:rPr>
          <w:sz w:val="24"/>
        </w:rPr>
      </w:pPr>
      <w:r>
        <w:rPr>
          <w:sz w:val="24"/>
        </w:rPr>
        <w:t>（4）参数选择</w:t>
      </w:r>
      <w:bookmarkEnd w:id="132"/>
    </w:p>
    <w:p>
      <w:pPr>
        <w:adjustRightInd w:val="0"/>
        <w:snapToGrid w:val="0"/>
        <w:spacing w:line="360" w:lineRule="auto"/>
        <w:ind w:firstLine="480" w:firstLineChars="200"/>
        <w:rPr>
          <w:sz w:val="24"/>
        </w:rPr>
      </w:pPr>
      <w:r>
        <w:rPr>
          <w:rFonts w:hint="eastAsia"/>
          <w:sz w:val="24"/>
        </w:rPr>
        <w:t>①</w:t>
      </w:r>
      <w:r>
        <w:rPr>
          <w:sz w:val="24"/>
        </w:rPr>
        <w:drawing>
          <wp:inline distT="0" distB="0" distL="114300" distR="114300">
            <wp:extent cx="266700" cy="228600"/>
            <wp:effectExtent l="0" t="0" r="7620" b="0"/>
            <wp:docPr id="1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1"/>
                    <pic:cNvPicPr>
                      <a:picLocks noChangeAspect="1"/>
                    </pic:cNvPicPr>
                  </pic:nvPicPr>
                  <pic:blipFill>
                    <a:blip r:embed="rId45"/>
                    <a:srcRect/>
                    <a:stretch>
                      <a:fillRect/>
                    </a:stretch>
                  </pic:blipFill>
                  <pic:spPr>
                    <a:xfrm>
                      <a:off x="0" y="0"/>
                      <a:ext cx="266700" cy="228600"/>
                    </a:xfrm>
                    <a:prstGeom prst="rect">
                      <a:avLst/>
                    </a:prstGeom>
                    <a:noFill/>
                    <a:ln w="9525">
                      <a:noFill/>
                      <a:miter/>
                    </a:ln>
                  </pic:spPr>
                </pic:pic>
              </a:graphicData>
            </a:graphic>
          </wp:inline>
        </w:drawing>
      </w:r>
    </w:p>
    <w:p>
      <w:pPr>
        <w:adjustRightInd w:val="0"/>
        <w:snapToGrid w:val="0"/>
        <w:spacing w:line="360" w:lineRule="auto"/>
        <w:ind w:firstLine="480" w:firstLineChars="200"/>
        <w:rPr>
          <w:sz w:val="24"/>
        </w:rPr>
      </w:pPr>
      <w:r>
        <w:rPr>
          <w:sz w:val="24"/>
        </w:rPr>
        <w:t xml:space="preserve">a、点声源  </w:t>
      </w:r>
      <w:r>
        <w:rPr>
          <w:sz w:val="24"/>
        </w:rPr>
        <w:drawing>
          <wp:inline distT="0" distB="0" distL="114300" distR="114300">
            <wp:extent cx="266700" cy="228600"/>
            <wp:effectExtent l="0" t="0" r="7620" b="0"/>
            <wp:docPr id="2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2"/>
                    <pic:cNvPicPr>
                      <a:picLocks noChangeAspect="1"/>
                    </pic:cNvPicPr>
                  </pic:nvPicPr>
                  <pic:blipFill>
                    <a:blip r:embed="rId45"/>
                    <a:srcRect/>
                    <a:stretch>
                      <a:fillRect/>
                    </a:stretch>
                  </pic:blipFill>
                  <pic:spPr>
                    <a:xfrm>
                      <a:off x="0" y="0"/>
                      <a:ext cx="266700" cy="228600"/>
                    </a:xfrm>
                    <a:prstGeom prst="rect">
                      <a:avLst/>
                    </a:prstGeom>
                    <a:noFill/>
                    <a:ln w="9525">
                      <a:noFill/>
                      <a:miter/>
                    </a:ln>
                  </pic:spPr>
                </pic:pic>
              </a:graphicData>
            </a:graphic>
          </wp:inline>
        </w:drawing>
      </w:r>
      <w:r>
        <w:rPr>
          <w:sz w:val="24"/>
        </w:rPr>
        <w:t>=20lg（r/r0）</w:t>
      </w:r>
    </w:p>
    <w:p>
      <w:pPr>
        <w:adjustRightInd w:val="0"/>
        <w:snapToGrid w:val="0"/>
        <w:spacing w:line="360" w:lineRule="auto"/>
        <w:ind w:firstLine="480" w:firstLineChars="200"/>
        <w:rPr>
          <w:sz w:val="24"/>
        </w:rPr>
      </w:pPr>
      <w:r>
        <w:rPr>
          <w:sz w:val="24"/>
        </w:rPr>
        <w:t>b、有限长（</w:t>
      </w:r>
      <w:r>
        <w:rPr>
          <w:sz w:val="24"/>
        </w:rPr>
        <w:drawing>
          <wp:inline distT="0" distB="0" distL="114300" distR="114300">
            <wp:extent cx="182880" cy="228600"/>
            <wp:effectExtent l="0" t="0" r="0" b="0"/>
            <wp:docPr id="2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3"/>
                    <pic:cNvPicPr>
                      <a:picLocks noChangeAspect="1"/>
                    </pic:cNvPicPr>
                  </pic:nvPicPr>
                  <pic:blipFill>
                    <a:blip r:embed="rId57"/>
                    <a:srcRect/>
                    <a:stretch>
                      <a:fillRect/>
                    </a:stretch>
                  </pic:blipFill>
                  <pic:spPr>
                    <a:xfrm>
                      <a:off x="0" y="0"/>
                      <a:ext cx="182880" cy="228600"/>
                    </a:xfrm>
                    <a:prstGeom prst="rect">
                      <a:avLst/>
                    </a:prstGeom>
                    <a:noFill/>
                    <a:ln w="9525">
                      <a:noFill/>
                      <a:miter/>
                    </a:ln>
                  </pic:spPr>
                </pic:pic>
              </a:graphicData>
            </a:graphic>
          </wp:inline>
        </w:drawing>
      </w:r>
      <w:r>
        <w:rPr>
          <w:sz w:val="24"/>
        </w:rPr>
        <w:t>）线声源</w:t>
      </w:r>
    </w:p>
    <w:p>
      <w:pPr>
        <w:adjustRightInd w:val="0"/>
        <w:snapToGrid w:val="0"/>
        <w:spacing w:line="360" w:lineRule="auto"/>
        <w:ind w:firstLine="480" w:firstLineChars="200"/>
        <w:jc w:val="center"/>
        <w:rPr>
          <w:sz w:val="24"/>
        </w:rPr>
      </w:pPr>
      <w:r>
        <w:rPr>
          <w:sz w:val="24"/>
        </w:rPr>
        <w:t>当r&gt;</w:t>
      </w:r>
      <w:r>
        <w:rPr>
          <w:sz w:val="24"/>
        </w:rPr>
        <w:drawing>
          <wp:inline distT="0" distB="0" distL="114300" distR="114300">
            <wp:extent cx="182880" cy="228600"/>
            <wp:effectExtent l="0" t="0" r="0" b="0"/>
            <wp:docPr id="2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4"/>
                    <pic:cNvPicPr>
                      <a:picLocks noChangeAspect="1"/>
                    </pic:cNvPicPr>
                  </pic:nvPicPr>
                  <pic:blipFill>
                    <a:blip r:embed="rId57"/>
                    <a:srcRect/>
                    <a:stretch>
                      <a:fillRect/>
                    </a:stretch>
                  </pic:blipFill>
                  <pic:spPr>
                    <a:xfrm>
                      <a:off x="0" y="0"/>
                      <a:ext cx="182880" cy="228600"/>
                    </a:xfrm>
                    <a:prstGeom prst="rect">
                      <a:avLst/>
                    </a:prstGeom>
                    <a:noFill/>
                    <a:ln w="9525">
                      <a:noFill/>
                      <a:miter/>
                    </a:ln>
                  </pic:spPr>
                </pic:pic>
              </a:graphicData>
            </a:graphic>
          </wp:inline>
        </w:drawing>
      </w:r>
      <w:r>
        <w:rPr>
          <w:sz w:val="24"/>
        </w:rPr>
        <w:t>且r0&gt;</w:t>
      </w:r>
      <w:r>
        <w:rPr>
          <w:sz w:val="24"/>
        </w:rPr>
        <w:drawing>
          <wp:inline distT="0" distB="0" distL="114300" distR="114300">
            <wp:extent cx="182880" cy="228600"/>
            <wp:effectExtent l="0" t="0" r="0" b="0"/>
            <wp:docPr id="2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5"/>
                    <pic:cNvPicPr>
                      <a:picLocks noChangeAspect="1"/>
                    </pic:cNvPicPr>
                  </pic:nvPicPr>
                  <pic:blipFill>
                    <a:blip r:embed="rId57"/>
                    <a:srcRect/>
                    <a:stretch>
                      <a:fillRect/>
                    </a:stretch>
                  </pic:blipFill>
                  <pic:spPr>
                    <a:xfrm>
                      <a:off x="0" y="0"/>
                      <a:ext cx="182880" cy="228600"/>
                    </a:xfrm>
                    <a:prstGeom prst="rect">
                      <a:avLst/>
                    </a:prstGeom>
                    <a:noFill/>
                    <a:ln w="9525">
                      <a:noFill/>
                      <a:miter/>
                    </a:ln>
                  </pic:spPr>
                </pic:pic>
              </a:graphicData>
            </a:graphic>
          </wp:inline>
        </w:drawing>
      </w:r>
      <w:r>
        <w:rPr>
          <w:sz w:val="24"/>
        </w:rPr>
        <w:t xml:space="preserve">时   </w:t>
      </w:r>
      <w:r>
        <w:rPr>
          <w:sz w:val="24"/>
        </w:rPr>
        <w:drawing>
          <wp:inline distT="0" distB="0" distL="114300" distR="114300">
            <wp:extent cx="266700" cy="228600"/>
            <wp:effectExtent l="0" t="0" r="7620" b="0"/>
            <wp:docPr id="2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6"/>
                    <pic:cNvPicPr>
                      <a:picLocks noChangeAspect="1"/>
                    </pic:cNvPicPr>
                  </pic:nvPicPr>
                  <pic:blipFill>
                    <a:blip r:embed="rId45"/>
                    <a:srcRect/>
                    <a:stretch>
                      <a:fillRect/>
                    </a:stretch>
                  </pic:blipFill>
                  <pic:spPr>
                    <a:xfrm>
                      <a:off x="0" y="0"/>
                      <a:ext cx="266700" cy="228600"/>
                    </a:xfrm>
                    <a:prstGeom prst="rect">
                      <a:avLst/>
                    </a:prstGeom>
                    <a:noFill/>
                    <a:ln w="9525">
                      <a:noFill/>
                      <a:miter/>
                    </a:ln>
                  </pic:spPr>
                </pic:pic>
              </a:graphicData>
            </a:graphic>
          </wp:inline>
        </w:drawing>
      </w:r>
      <w:r>
        <w:rPr>
          <w:sz w:val="24"/>
        </w:rPr>
        <w:t>=20lg（r/r0）</w:t>
      </w:r>
    </w:p>
    <w:p>
      <w:pPr>
        <w:adjustRightInd w:val="0"/>
        <w:snapToGrid w:val="0"/>
        <w:spacing w:line="360" w:lineRule="auto"/>
        <w:ind w:firstLine="480" w:firstLineChars="200"/>
        <w:jc w:val="center"/>
        <w:rPr>
          <w:sz w:val="24"/>
        </w:rPr>
      </w:pPr>
      <w:r>
        <w:rPr>
          <w:sz w:val="24"/>
        </w:rPr>
        <w:t>当r&lt;</w:t>
      </w:r>
      <w:r>
        <w:rPr>
          <w:sz w:val="24"/>
        </w:rPr>
        <w:drawing>
          <wp:inline distT="0" distB="0" distL="114300" distR="114300">
            <wp:extent cx="182880" cy="228600"/>
            <wp:effectExtent l="0" t="0" r="0" b="0"/>
            <wp:docPr id="2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7"/>
                    <pic:cNvPicPr>
                      <a:picLocks noChangeAspect="1"/>
                    </pic:cNvPicPr>
                  </pic:nvPicPr>
                  <pic:blipFill>
                    <a:blip r:embed="rId57"/>
                    <a:srcRect/>
                    <a:stretch>
                      <a:fillRect/>
                    </a:stretch>
                  </pic:blipFill>
                  <pic:spPr>
                    <a:xfrm>
                      <a:off x="0" y="0"/>
                      <a:ext cx="182880" cy="228600"/>
                    </a:xfrm>
                    <a:prstGeom prst="rect">
                      <a:avLst/>
                    </a:prstGeom>
                    <a:noFill/>
                    <a:ln w="9525">
                      <a:noFill/>
                      <a:miter/>
                    </a:ln>
                  </pic:spPr>
                </pic:pic>
              </a:graphicData>
            </a:graphic>
          </wp:inline>
        </w:drawing>
      </w:r>
      <w:r>
        <w:rPr>
          <w:sz w:val="24"/>
        </w:rPr>
        <w:t>/3且r0&lt;</w:t>
      </w:r>
      <w:r>
        <w:rPr>
          <w:sz w:val="24"/>
        </w:rPr>
        <w:drawing>
          <wp:inline distT="0" distB="0" distL="114300" distR="114300">
            <wp:extent cx="182880" cy="228600"/>
            <wp:effectExtent l="0" t="0" r="0" b="0"/>
            <wp:docPr id="2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8"/>
                    <pic:cNvPicPr>
                      <a:picLocks noChangeAspect="1"/>
                    </pic:cNvPicPr>
                  </pic:nvPicPr>
                  <pic:blipFill>
                    <a:blip r:embed="rId57"/>
                    <a:srcRect/>
                    <a:stretch>
                      <a:fillRect/>
                    </a:stretch>
                  </pic:blipFill>
                  <pic:spPr>
                    <a:xfrm>
                      <a:off x="0" y="0"/>
                      <a:ext cx="182880" cy="228600"/>
                    </a:xfrm>
                    <a:prstGeom prst="rect">
                      <a:avLst/>
                    </a:prstGeom>
                    <a:noFill/>
                    <a:ln w="9525">
                      <a:noFill/>
                      <a:miter/>
                    </a:ln>
                  </pic:spPr>
                </pic:pic>
              </a:graphicData>
            </a:graphic>
          </wp:inline>
        </w:drawing>
      </w:r>
      <w:r>
        <w:rPr>
          <w:sz w:val="24"/>
        </w:rPr>
        <w:t xml:space="preserve">/3时  </w:t>
      </w:r>
      <w:r>
        <w:rPr>
          <w:sz w:val="24"/>
        </w:rPr>
        <w:drawing>
          <wp:inline distT="0" distB="0" distL="114300" distR="114300">
            <wp:extent cx="266700" cy="228600"/>
            <wp:effectExtent l="0" t="0" r="7620" b="0"/>
            <wp:docPr id="2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9"/>
                    <pic:cNvPicPr>
                      <a:picLocks noChangeAspect="1"/>
                    </pic:cNvPicPr>
                  </pic:nvPicPr>
                  <pic:blipFill>
                    <a:blip r:embed="rId45"/>
                    <a:srcRect/>
                    <a:stretch>
                      <a:fillRect/>
                    </a:stretch>
                  </pic:blipFill>
                  <pic:spPr>
                    <a:xfrm>
                      <a:off x="0" y="0"/>
                      <a:ext cx="266700" cy="228600"/>
                    </a:xfrm>
                    <a:prstGeom prst="rect">
                      <a:avLst/>
                    </a:prstGeom>
                    <a:noFill/>
                    <a:ln w="9525">
                      <a:noFill/>
                      <a:miter/>
                    </a:ln>
                  </pic:spPr>
                </pic:pic>
              </a:graphicData>
            </a:graphic>
          </wp:inline>
        </w:drawing>
      </w:r>
      <w:r>
        <w:rPr>
          <w:sz w:val="24"/>
        </w:rPr>
        <w:t>=10lg（r/r0）</w:t>
      </w:r>
    </w:p>
    <w:p>
      <w:pPr>
        <w:adjustRightInd w:val="0"/>
        <w:snapToGrid w:val="0"/>
        <w:spacing w:line="360" w:lineRule="auto"/>
        <w:ind w:firstLine="480" w:firstLineChars="200"/>
        <w:jc w:val="center"/>
        <w:rPr>
          <w:sz w:val="24"/>
        </w:rPr>
      </w:pPr>
      <w:r>
        <w:rPr>
          <w:sz w:val="24"/>
        </w:rPr>
        <w:t>当</w:t>
      </w:r>
      <w:r>
        <w:rPr>
          <w:sz w:val="24"/>
        </w:rPr>
        <w:drawing>
          <wp:inline distT="0" distB="0" distL="114300" distR="114300">
            <wp:extent cx="182880" cy="228600"/>
            <wp:effectExtent l="0" t="0" r="0" b="0"/>
            <wp:docPr id="2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0"/>
                    <pic:cNvPicPr>
                      <a:picLocks noChangeAspect="1"/>
                    </pic:cNvPicPr>
                  </pic:nvPicPr>
                  <pic:blipFill>
                    <a:blip r:embed="rId57"/>
                    <a:srcRect/>
                    <a:stretch>
                      <a:fillRect/>
                    </a:stretch>
                  </pic:blipFill>
                  <pic:spPr>
                    <a:xfrm>
                      <a:off x="0" y="0"/>
                      <a:ext cx="182880" cy="228600"/>
                    </a:xfrm>
                    <a:prstGeom prst="rect">
                      <a:avLst/>
                    </a:prstGeom>
                    <a:noFill/>
                    <a:ln w="9525">
                      <a:noFill/>
                      <a:miter/>
                    </a:ln>
                  </pic:spPr>
                </pic:pic>
              </a:graphicData>
            </a:graphic>
          </wp:inline>
        </w:drawing>
      </w:r>
      <w:r>
        <w:rPr>
          <w:sz w:val="24"/>
        </w:rPr>
        <w:t>/3&lt;r&lt;</w:t>
      </w:r>
      <w:r>
        <w:rPr>
          <w:sz w:val="24"/>
        </w:rPr>
        <w:drawing>
          <wp:inline distT="0" distB="0" distL="114300" distR="114300">
            <wp:extent cx="182880" cy="228600"/>
            <wp:effectExtent l="0" t="0" r="0" b="0"/>
            <wp:docPr id="2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1"/>
                    <pic:cNvPicPr>
                      <a:picLocks noChangeAspect="1"/>
                    </pic:cNvPicPr>
                  </pic:nvPicPr>
                  <pic:blipFill>
                    <a:blip r:embed="rId57"/>
                    <a:srcRect/>
                    <a:stretch>
                      <a:fillRect/>
                    </a:stretch>
                  </pic:blipFill>
                  <pic:spPr>
                    <a:xfrm>
                      <a:off x="0" y="0"/>
                      <a:ext cx="182880" cy="228600"/>
                    </a:xfrm>
                    <a:prstGeom prst="rect">
                      <a:avLst/>
                    </a:prstGeom>
                    <a:noFill/>
                    <a:ln w="9525">
                      <a:noFill/>
                      <a:miter/>
                    </a:ln>
                  </pic:spPr>
                </pic:pic>
              </a:graphicData>
            </a:graphic>
          </wp:inline>
        </w:drawing>
      </w:r>
      <w:r>
        <w:rPr>
          <w:sz w:val="24"/>
        </w:rPr>
        <w:t>且</w:t>
      </w:r>
      <w:r>
        <w:rPr>
          <w:sz w:val="24"/>
        </w:rPr>
        <w:drawing>
          <wp:inline distT="0" distB="0" distL="114300" distR="114300">
            <wp:extent cx="182880" cy="228600"/>
            <wp:effectExtent l="0" t="0" r="0" b="0"/>
            <wp:docPr id="3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2"/>
                    <pic:cNvPicPr>
                      <a:picLocks noChangeAspect="1"/>
                    </pic:cNvPicPr>
                  </pic:nvPicPr>
                  <pic:blipFill>
                    <a:blip r:embed="rId57"/>
                    <a:srcRect/>
                    <a:stretch>
                      <a:fillRect/>
                    </a:stretch>
                  </pic:blipFill>
                  <pic:spPr>
                    <a:xfrm>
                      <a:off x="0" y="0"/>
                      <a:ext cx="182880" cy="228600"/>
                    </a:xfrm>
                    <a:prstGeom prst="rect">
                      <a:avLst/>
                    </a:prstGeom>
                    <a:noFill/>
                    <a:ln w="9525">
                      <a:noFill/>
                      <a:miter/>
                    </a:ln>
                  </pic:spPr>
                </pic:pic>
              </a:graphicData>
            </a:graphic>
          </wp:inline>
        </w:drawing>
      </w:r>
      <w:r>
        <w:rPr>
          <w:sz w:val="24"/>
        </w:rPr>
        <w:t>/3&lt;r0&lt;</w:t>
      </w:r>
      <w:r>
        <w:rPr>
          <w:sz w:val="24"/>
        </w:rPr>
        <w:drawing>
          <wp:inline distT="0" distB="0" distL="114300" distR="114300">
            <wp:extent cx="182880" cy="228600"/>
            <wp:effectExtent l="0" t="0" r="0" b="0"/>
            <wp:docPr id="3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3"/>
                    <pic:cNvPicPr>
                      <a:picLocks noChangeAspect="1"/>
                    </pic:cNvPicPr>
                  </pic:nvPicPr>
                  <pic:blipFill>
                    <a:blip r:embed="rId57"/>
                    <a:srcRect/>
                    <a:stretch>
                      <a:fillRect/>
                    </a:stretch>
                  </pic:blipFill>
                  <pic:spPr>
                    <a:xfrm>
                      <a:off x="0" y="0"/>
                      <a:ext cx="182880" cy="228600"/>
                    </a:xfrm>
                    <a:prstGeom prst="rect">
                      <a:avLst/>
                    </a:prstGeom>
                    <a:noFill/>
                    <a:ln w="9525">
                      <a:noFill/>
                      <a:miter/>
                    </a:ln>
                  </pic:spPr>
                </pic:pic>
              </a:graphicData>
            </a:graphic>
          </wp:inline>
        </w:drawing>
      </w:r>
      <w:r>
        <w:rPr>
          <w:sz w:val="24"/>
        </w:rPr>
        <w:t xml:space="preserve">时  </w:t>
      </w:r>
      <w:r>
        <w:rPr>
          <w:sz w:val="24"/>
        </w:rPr>
        <w:drawing>
          <wp:inline distT="0" distB="0" distL="114300" distR="114300">
            <wp:extent cx="266700" cy="228600"/>
            <wp:effectExtent l="0" t="0" r="7620" b="0"/>
            <wp:docPr id="3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4"/>
                    <pic:cNvPicPr>
                      <a:picLocks noChangeAspect="1"/>
                    </pic:cNvPicPr>
                  </pic:nvPicPr>
                  <pic:blipFill>
                    <a:blip r:embed="rId45"/>
                    <a:srcRect/>
                    <a:stretch>
                      <a:fillRect/>
                    </a:stretch>
                  </pic:blipFill>
                  <pic:spPr>
                    <a:xfrm>
                      <a:off x="0" y="0"/>
                      <a:ext cx="266700" cy="228600"/>
                    </a:xfrm>
                    <a:prstGeom prst="rect">
                      <a:avLst/>
                    </a:prstGeom>
                    <a:noFill/>
                    <a:ln w="9525">
                      <a:noFill/>
                      <a:miter/>
                    </a:ln>
                  </pic:spPr>
                </pic:pic>
              </a:graphicData>
            </a:graphic>
          </wp:inline>
        </w:drawing>
      </w:r>
      <w:r>
        <w:rPr>
          <w:sz w:val="24"/>
        </w:rPr>
        <w:t>=15lg（r/r0）</w:t>
      </w:r>
    </w:p>
    <w:p>
      <w:pPr>
        <w:adjustRightInd w:val="0"/>
        <w:snapToGrid w:val="0"/>
        <w:spacing w:line="360" w:lineRule="auto"/>
        <w:ind w:firstLine="480" w:firstLineChars="200"/>
        <w:rPr>
          <w:sz w:val="24"/>
        </w:rPr>
      </w:pPr>
      <w:r>
        <w:rPr>
          <w:rFonts w:hint="eastAsia"/>
          <w:sz w:val="24"/>
        </w:rPr>
        <w:t>②</w:t>
      </w:r>
      <w:r>
        <w:rPr>
          <w:sz w:val="24"/>
        </w:rPr>
        <w:drawing>
          <wp:inline distT="0" distB="0" distL="114300" distR="114300">
            <wp:extent cx="274320" cy="228600"/>
            <wp:effectExtent l="0" t="0" r="0" b="0"/>
            <wp:docPr id="3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5"/>
                    <pic:cNvPicPr>
                      <a:picLocks noChangeAspect="1"/>
                    </pic:cNvPicPr>
                  </pic:nvPicPr>
                  <pic:blipFill>
                    <a:blip r:embed="rId58"/>
                    <a:srcRect/>
                    <a:stretch>
                      <a:fillRect/>
                    </a:stretch>
                  </pic:blipFill>
                  <pic:spPr>
                    <a:xfrm>
                      <a:off x="0" y="0"/>
                      <a:ext cx="274320" cy="228600"/>
                    </a:xfrm>
                    <a:prstGeom prst="rect">
                      <a:avLst/>
                    </a:prstGeom>
                    <a:noFill/>
                    <a:ln w="9525">
                      <a:noFill/>
                      <a:miter/>
                    </a:ln>
                  </pic:spPr>
                </pic:pic>
              </a:graphicData>
            </a:graphic>
          </wp:inline>
        </w:drawing>
      </w:r>
    </w:p>
    <w:p>
      <w:pPr>
        <w:adjustRightInd w:val="0"/>
        <w:snapToGrid w:val="0"/>
        <w:spacing w:line="360" w:lineRule="auto"/>
        <w:ind w:firstLine="480" w:firstLineChars="200"/>
        <w:rPr>
          <w:sz w:val="24"/>
        </w:rPr>
      </w:pPr>
      <w:r>
        <w:rPr>
          <w:sz w:val="24"/>
        </w:rPr>
        <w:t>噪声在向外传播过程中将受到厂房或其他车间的阻挡影响，从而引起声能量的衰减，具体衰减根据不同声级的传播途径而定。</w:t>
      </w:r>
    </w:p>
    <w:p>
      <w:pPr>
        <w:adjustRightInd w:val="0"/>
        <w:snapToGrid w:val="0"/>
        <w:spacing w:line="360" w:lineRule="auto"/>
        <w:ind w:firstLine="480" w:firstLineChars="200"/>
        <w:rPr>
          <w:sz w:val="24"/>
        </w:rPr>
      </w:pPr>
      <w:r>
        <w:rPr>
          <w:rFonts w:hint="eastAsia"/>
          <w:sz w:val="24"/>
        </w:rPr>
        <w:t>③</w:t>
      </w:r>
      <w:r>
        <w:rPr>
          <w:sz w:val="24"/>
        </w:rPr>
        <w:t>空气吸收衰减量</w:t>
      </w:r>
    </w:p>
    <w:p>
      <w:pPr>
        <w:adjustRightInd w:val="0"/>
        <w:snapToGrid w:val="0"/>
        <w:spacing w:line="360" w:lineRule="auto"/>
        <w:jc w:val="center"/>
        <w:rPr>
          <w:sz w:val="24"/>
        </w:rPr>
      </w:pPr>
      <w:r>
        <w:rPr>
          <w:sz w:val="24"/>
        </w:rPr>
        <w:drawing>
          <wp:inline distT="0" distB="0" distL="114300" distR="114300">
            <wp:extent cx="1059815" cy="388620"/>
            <wp:effectExtent l="0" t="0" r="6985" b="6350"/>
            <wp:docPr id="3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6"/>
                    <pic:cNvPicPr>
                      <a:picLocks noChangeAspect="1"/>
                    </pic:cNvPicPr>
                  </pic:nvPicPr>
                  <pic:blipFill>
                    <a:blip r:embed="rId59"/>
                    <a:srcRect/>
                    <a:stretch>
                      <a:fillRect/>
                    </a:stretch>
                  </pic:blipFill>
                  <pic:spPr>
                    <a:xfrm>
                      <a:off x="0" y="0"/>
                      <a:ext cx="1059815" cy="388620"/>
                    </a:xfrm>
                    <a:prstGeom prst="rect">
                      <a:avLst/>
                    </a:prstGeom>
                    <a:noFill/>
                    <a:ln w="9525">
                      <a:noFill/>
                      <a:miter/>
                    </a:ln>
                  </pic:spPr>
                </pic:pic>
              </a:graphicData>
            </a:graphic>
          </wp:inline>
        </w:drawing>
      </w:r>
    </w:p>
    <w:p>
      <w:pPr>
        <w:adjustRightInd w:val="0"/>
        <w:snapToGrid w:val="0"/>
        <w:spacing w:line="360" w:lineRule="auto"/>
        <w:ind w:firstLine="480" w:firstLineChars="200"/>
        <w:rPr>
          <w:sz w:val="24"/>
        </w:rPr>
      </w:pPr>
      <w:r>
        <w:rPr>
          <w:sz w:val="24"/>
        </w:rPr>
        <w:t>其中：r、r0 —— 预测点和参考点到声源的距离；</w:t>
      </w:r>
    </w:p>
    <w:p>
      <w:pPr>
        <w:adjustRightInd w:val="0"/>
        <w:snapToGrid w:val="0"/>
        <w:spacing w:line="360" w:lineRule="auto"/>
        <w:ind w:firstLine="480" w:firstLineChars="200"/>
        <w:rPr>
          <w:sz w:val="24"/>
        </w:rPr>
      </w:pPr>
      <w:r>
        <w:rPr>
          <w:sz w:val="24"/>
        </w:rPr>
        <w:t>α——空气吸收系数，随频率和距离的增大而增大。拟建项目噪声以空气动力噪声及机械振动噪声为主，空气吸收性衰减很小，预测时可忽略不计。</w:t>
      </w:r>
    </w:p>
    <w:p>
      <w:pPr>
        <w:adjustRightInd w:val="0"/>
        <w:snapToGrid w:val="0"/>
        <w:spacing w:line="360" w:lineRule="auto"/>
        <w:ind w:firstLine="480" w:firstLineChars="200"/>
        <w:rPr>
          <w:rFonts w:hint="eastAsia"/>
          <w:sz w:val="24"/>
        </w:rPr>
      </w:pPr>
      <w:r>
        <w:rPr>
          <w:sz w:val="24"/>
        </w:rPr>
        <w:drawing>
          <wp:inline distT="0" distB="0" distL="114300" distR="114300">
            <wp:extent cx="266700" cy="228600"/>
            <wp:effectExtent l="0" t="0" r="7620" b="0"/>
            <wp:docPr id="3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7"/>
                    <pic:cNvPicPr>
                      <a:picLocks noChangeAspect="1"/>
                    </pic:cNvPicPr>
                  </pic:nvPicPr>
                  <pic:blipFill>
                    <a:blip r:embed="rId48"/>
                    <a:srcRect/>
                    <a:stretch>
                      <a:fillRect/>
                    </a:stretch>
                  </pic:blipFill>
                  <pic:spPr>
                    <a:xfrm>
                      <a:off x="0" y="0"/>
                      <a:ext cx="266700" cy="228600"/>
                    </a:xfrm>
                    <a:prstGeom prst="rect">
                      <a:avLst/>
                    </a:prstGeom>
                    <a:noFill/>
                    <a:ln w="9525">
                      <a:noFill/>
                      <a:miter/>
                    </a:ln>
                  </pic:spPr>
                </pic:pic>
              </a:graphicData>
            </a:graphic>
          </wp:inline>
        </w:drawing>
      </w:r>
      <w:r>
        <w:rPr>
          <w:sz w:val="24"/>
        </w:rPr>
        <w:t>：主要考虑地面效应引起的附加衰减量，根据厂区布置和噪声源强及厂外环境状况，可以忽略本项附加衰减量。</w:t>
      </w:r>
    </w:p>
    <w:p>
      <w:pPr>
        <w:pStyle w:val="3"/>
        <w:tabs>
          <w:tab w:val="left" w:pos="360"/>
          <w:tab w:val="left" w:pos="840"/>
        </w:tabs>
        <w:spacing w:before="0" w:after="0" w:line="360" w:lineRule="auto"/>
        <w:rPr>
          <w:rFonts w:hint="eastAsia" w:ascii="Times New Roman" w:hAnsi="Times New Roman" w:eastAsia="宋体"/>
          <w:b/>
          <w:sz w:val="28"/>
          <w:szCs w:val="28"/>
        </w:rPr>
      </w:pPr>
      <w:bookmarkStart w:id="133" w:name="_Toc435690421"/>
      <w:r>
        <w:rPr>
          <w:rFonts w:hint="eastAsia" w:ascii="Times New Roman" w:hAnsi="Times New Roman" w:eastAsia="宋体"/>
          <w:b/>
          <w:sz w:val="28"/>
          <w:szCs w:val="28"/>
        </w:rPr>
        <w:t>3.3噪声预测参数</w:t>
      </w:r>
      <w:bookmarkEnd w:id="133"/>
    </w:p>
    <w:p>
      <w:pPr>
        <w:ind w:firstLine="480" w:firstLineChars="200"/>
        <w:rPr>
          <w:rFonts w:hint="eastAsia"/>
          <w:sz w:val="24"/>
        </w:rPr>
      </w:pPr>
      <w:r>
        <w:rPr>
          <w:rFonts w:hint="eastAsia"/>
          <w:sz w:val="24"/>
        </w:rPr>
        <w:t>本项目噪声预测点声源及线声源基本参数详见表3.3-1和3.3-1。</w:t>
      </w:r>
    </w:p>
    <w:p>
      <w:pPr>
        <w:pStyle w:val="33"/>
        <w:adjustRightInd w:val="0"/>
        <w:snapToGrid w:val="0"/>
        <w:spacing w:after="0" w:line="240" w:lineRule="auto"/>
        <w:ind w:left="0" w:leftChars="0" w:firstLine="220"/>
        <w:jc w:val="center"/>
        <w:rPr>
          <w:rFonts w:hint="eastAsia"/>
          <w:b/>
          <w:sz w:val="22"/>
        </w:rPr>
      </w:pPr>
      <w:r>
        <w:rPr>
          <w:rFonts w:hint="eastAsia"/>
          <w:b/>
          <w:sz w:val="22"/>
        </w:rPr>
        <w:t>表3.3-1  点声源统计</w:t>
      </w:r>
    </w:p>
    <w:tbl>
      <w:tblPr>
        <w:tblStyle w:val="59"/>
        <w:tblW w:w="8528"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904"/>
        <w:gridCol w:w="3230"/>
        <w:gridCol w:w="2105"/>
        <w:gridCol w:w="2289"/>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c>
          <w:tcPr>
            <w:tcW w:w="904" w:type="dxa"/>
            <w:tcBorders>
              <w:top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序号</w:t>
            </w:r>
          </w:p>
        </w:tc>
        <w:tc>
          <w:tcPr>
            <w:tcW w:w="3230"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源名称</w:t>
            </w:r>
          </w:p>
        </w:tc>
        <w:tc>
          <w:tcPr>
            <w:tcW w:w="2105"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白天源强dB（A）</w:t>
            </w:r>
          </w:p>
        </w:tc>
        <w:tc>
          <w:tcPr>
            <w:tcW w:w="2289"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夜晚源强dB（A）</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c>
          <w:tcPr>
            <w:tcW w:w="904" w:type="dxa"/>
            <w:tcBorders>
              <w:top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1</w:t>
            </w:r>
          </w:p>
        </w:tc>
        <w:tc>
          <w:tcPr>
            <w:tcW w:w="3230"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装卸设备</w:t>
            </w:r>
          </w:p>
        </w:tc>
        <w:tc>
          <w:tcPr>
            <w:tcW w:w="2105"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90</w:t>
            </w:r>
          </w:p>
        </w:tc>
        <w:tc>
          <w:tcPr>
            <w:tcW w:w="2289"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90</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c>
          <w:tcPr>
            <w:tcW w:w="904" w:type="dxa"/>
            <w:tcBorders>
              <w:top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2</w:t>
            </w:r>
          </w:p>
        </w:tc>
        <w:tc>
          <w:tcPr>
            <w:tcW w:w="3230"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打包设备</w:t>
            </w:r>
          </w:p>
        </w:tc>
        <w:tc>
          <w:tcPr>
            <w:tcW w:w="2105"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90</w:t>
            </w:r>
          </w:p>
        </w:tc>
        <w:tc>
          <w:tcPr>
            <w:tcW w:w="2289"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90</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c>
          <w:tcPr>
            <w:tcW w:w="904" w:type="dxa"/>
            <w:tcBorders>
              <w:top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3</w:t>
            </w:r>
          </w:p>
        </w:tc>
        <w:tc>
          <w:tcPr>
            <w:tcW w:w="3230"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仓库室外空调机组</w:t>
            </w:r>
          </w:p>
        </w:tc>
        <w:tc>
          <w:tcPr>
            <w:tcW w:w="2105"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85</w:t>
            </w:r>
          </w:p>
        </w:tc>
        <w:tc>
          <w:tcPr>
            <w:tcW w:w="2289"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85</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c>
          <w:tcPr>
            <w:tcW w:w="904" w:type="dxa"/>
            <w:tcBorders>
              <w:top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4</w:t>
            </w:r>
          </w:p>
        </w:tc>
        <w:tc>
          <w:tcPr>
            <w:tcW w:w="3230"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分拣中心室外空调机组</w:t>
            </w:r>
          </w:p>
        </w:tc>
        <w:tc>
          <w:tcPr>
            <w:tcW w:w="2105"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85</w:t>
            </w:r>
          </w:p>
        </w:tc>
        <w:tc>
          <w:tcPr>
            <w:tcW w:w="2289"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85</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c>
          <w:tcPr>
            <w:tcW w:w="904" w:type="dxa"/>
            <w:tcBorders>
              <w:top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5</w:t>
            </w:r>
          </w:p>
        </w:tc>
        <w:tc>
          <w:tcPr>
            <w:tcW w:w="3230"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消防水泵</w:t>
            </w:r>
          </w:p>
        </w:tc>
        <w:tc>
          <w:tcPr>
            <w:tcW w:w="2105"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85</w:t>
            </w:r>
          </w:p>
        </w:tc>
        <w:tc>
          <w:tcPr>
            <w:tcW w:w="2289"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85</w:t>
            </w:r>
          </w:p>
        </w:tc>
      </w:tr>
    </w:tbl>
    <w:p>
      <w:pPr>
        <w:rPr>
          <w:rFonts w:hint="eastAsia"/>
          <w:sz w:val="20"/>
        </w:rPr>
      </w:pPr>
      <w:r>
        <w:rPr>
          <w:rFonts w:hint="eastAsia"/>
          <w:sz w:val="20"/>
        </w:rPr>
        <w:t>注：室内声源已等效为室外声源</w:t>
      </w:r>
    </w:p>
    <w:p>
      <w:pPr>
        <w:pStyle w:val="33"/>
        <w:adjustRightInd w:val="0"/>
        <w:snapToGrid w:val="0"/>
        <w:spacing w:after="0" w:line="240" w:lineRule="auto"/>
        <w:ind w:left="0" w:leftChars="0" w:firstLine="220"/>
        <w:jc w:val="center"/>
        <w:rPr>
          <w:b/>
          <w:sz w:val="22"/>
        </w:rPr>
      </w:pPr>
      <w:r>
        <w:rPr>
          <w:rFonts w:hint="eastAsia"/>
          <w:b/>
          <w:sz w:val="22"/>
        </w:rPr>
        <w:t>表3.3-2</w:t>
      </w:r>
      <w:r>
        <w:rPr>
          <w:b/>
          <w:sz w:val="22"/>
        </w:rPr>
        <w:t xml:space="preserve"> </w:t>
      </w:r>
      <w:r>
        <w:rPr>
          <w:rFonts w:hint="eastAsia"/>
          <w:b/>
          <w:sz w:val="22"/>
        </w:rPr>
        <w:t>线声源统计</w:t>
      </w:r>
      <w:r>
        <w:rPr>
          <w:b/>
          <w:sz w:val="22"/>
        </w:rPr>
        <w:t xml:space="preserve"> </w:t>
      </w:r>
    </w:p>
    <w:tbl>
      <w:tblPr>
        <w:tblStyle w:val="59"/>
        <w:tblW w:w="8528"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770"/>
        <w:gridCol w:w="3602"/>
        <w:gridCol w:w="2135"/>
        <w:gridCol w:w="2021"/>
        <w:tblGridChange w:id="1">
          <w:tblGrid>
            <w:gridCol w:w="770"/>
            <w:gridCol w:w="3602"/>
            <w:gridCol w:w="2135"/>
            <w:gridCol w:w="2021"/>
          </w:tblGrid>
        </w:tblGridChange>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c>
          <w:tcPr>
            <w:tcW w:w="770" w:type="dxa"/>
            <w:tcBorders>
              <w:top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序号</w:t>
            </w:r>
          </w:p>
        </w:tc>
        <w:tc>
          <w:tcPr>
            <w:tcW w:w="3602"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源名称</w:t>
            </w:r>
          </w:p>
        </w:tc>
        <w:tc>
          <w:tcPr>
            <w:tcW w:w="2135"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白天源强dB（A）</w:t>
            </w:r>
          </w:p>
        </w:tc>
        <w:tc>
          <w:tcPr>
            <w:tcW w:w="2021"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夜晚源强dB（A）</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c>
          <w:tcPr>
            <w:tcW w:w="770" w:type="dxa"/>
            <w:tcBorders>
              <w:top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1</w:t>
            </w:r>
          </w:p>
        </w:tc>
        <w:tc>
          <w:tcPr>
            <w:tcW w:w="3602"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南北向道路运输及装卸作业噪声</w:t>
            </w:r>
          </w:p>
        </w:tc>
        <w:tc>
          <w:tcPr>
            <w:tcW w:w="2135"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80</w:t>
            </w:r>
          </w:p>
        </w:tc>
        <w:tc>
          <w:tcPr>
            <w:tcW w:w="2021"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60</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c>
          <w:tcPr>
            <w:tcW w:w="770" w:type="dxa"/>
            <w:tcBorders>
              <w:top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2</w:t>
            </w:r>
          </w:p>
        </w:tc>
        <w:tc>
          <w:tcPr>
            <w:tcW w:w="3602"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东西向道路运输及装卸作业噪声</w:t>
            </w:r>
          </w:p>
        </w:tc>
        <w:tc>
          <w:tcPr>
            <w:tcW w:w="2135"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80</w:t>
            </w:r>
          </w:p>
        </w:tc>
        <w:tc>
          <w:tcPr>
            <w:tcW w:w="2021"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szCs w:val="21"/>
              </w:rPr>
            </w:pPr>
            <w:r>
              <w:rPr>
                <w:rFonts w:hint="eastAsia"/>
                <w:szCs w:val="21"/>
              </w:rPr>
              <w:t>60</w:t>
            </w:r>
          </w:p>
        </w:tc>
      </w:tr>
    </w:tbl>
    <w:p>
      <w:pPr>
        <w:ind w:firstLine="480" w:firstLineChars="200"/>
        <w:rPr>
          <w:rFonts w:hint="eastAsia"/>
          <w:sz w:val="24"/>
        </w:rPr>
      </w:pPr>
    </w:p>
    <w:p>
      <w:pPr>
        <w:ind w:firstLine="480" w:firstLineChars="200"/>
        <w:rPr>
          <w:rFonts w:hint="eastAsia"/>
          <w:sz w:val="24"/>
        </w:rPr>
      </w:pPr>
      <w:r>
        <w:rPr>
          <w:rFonts w:hint="eastAsia"/>
          <w:sz w:val="24"/>
        </w:rPr>
        <w:t>矩形建筑物采用的声传播衰减参数详见表3.3-3。</w:t>
      </w:r>
    </w:p>
    <w:p>
      <w:pPr>
        <w:pStyle w:val="33"/>
        <w:adjustRightInd w:val="0"/>
        <w:snapToGrid w:val="0"/>
        <w:spacing w:after="0" w:line="240" w:lineRule="auto"/>
        <w:ind w:left="0" w:leftChars="0" w:firstLine="220"/>
        <w:jc w:val="center"/>
        <w:rPr>
          <w:rFonts w:hint="eastAsia"/>
          <w:b/>
          <w:sz w:val="22"/>
        </w:rPr>
      </w:pPr>
      <w:r>
        <w:rPr>
          <w:rFonts w:hint="eastAsia"/>
          <w:b/>
          <w:sz w:val="22"/>
        </w:rPr>
        <w:t xml:space="preserve">表3.3-3  </w:t>
      </w:r>
      <w:r>
        <w:rPr>
          <w:b/>
          <w:sz w:val="22"/>
        </w:rPr>
        <w:t xml:space="preserve"> </w:t>
      </w:r>
      <w:r>
        <w:rPr>
          <w:rFonts w:hint="eastAsia"/>
          <w:b/>
          <w:sz w:val="22"/>
        </w:rPr>
        <w:t>矩形建筑物参数</w:t>
      </w:r>
    </w:p>
    <w:tbl>
      <w:tblPr>
        <w:tblStyle w:val="59"/>
        <w:tblW w:w="85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81"/>
        <w:gridCol w:w="1682"/>
        <w:gridCol w:w="1728"/>
        <w:gridCol w:w="1735"/>
        <w:gridCol w:w="17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81" w:type="dxa"/>
            <w:shd w:val="clear" w:color="auto" w:fill="auto"/>
            <w:vAlign w:val="top"/>
          </w:tcPr>
          <w:p>
            <w:pPr>
              <w:snapToGrid w:val="0"/>
              <w:jc w:val="center"/>
              <w:rPr>
                <w:rFonts w:hint="eastAsia"/>
                <w:szCs w:val="21"/>
              </w:rPr>
            </w:pPr>
            <w:r>
              <w:rPr>
                <w:rFonts w:hint="eastAsia"/>
                <w:szCs w:val="21"/>
              </w:rPr>
              <w:t>序号</w:t>
            </w:r>
          </w:p>
        </w:tc>
        <w:tc>
          <w:tcPr>
            <w:tcW w:w="1682" w:type="dxa"/>
            <w:shd w:val="clear" w:color="auto" w:fill="auto"/>
            <w:vAlign w:val="top"/>
          </w:tcPr>
          <w:p>
            <w:pPr>
              <w:snapToGrid w:val="0"/>
              <w:jc w:val="center"/>
              <w:rPr>
                <w:rFonts w:hint="eastAsia"/>
                <w:szCs w:val="21"/>
              </w:rPr>
            </w:pPr>
            <w:r>
              <w:rPr>
                <w:rFonts w:hint="eastAsia"/>
                <w:szCs w:val="21"/>
              </w:rPr>
              <w:t>建筑物名称</w:t>
            </w:r>
          </w:p>
        </w:tc>
        <w:tc>
          <w:tcPr>
            <w:tcW w:w="1728" w:type="dxa"/>
            <w:shd w:val="clear" w:color="auto" w:fill="auto"/>
            <w:vAlign w:val="top"/>
          </w:tcPr>
          <w:p>
            <w:pPr>
              <w:snapToGrid w:val="0"/>
              <w:jc w:val="center"/>
              <w:rPr>
                <w:rFonts w:hint="eastAsia"/>
                <w:szCs w:val="21"/>
              </w:rPr>
            </w:pPr>
            <w:r>
              <w:rPr>
                <w:rFonts w:hint="eastAsia"/>
                <w:szCs w:val="21"/>
              </w:rPr>
              <w:t>高度（m）</w:t>
            </w:r>
          </w:p>
        </w:tc>
        <w:tc>
          <w:tcPr>
            <w:tcW w:w="1735" w:type="dxa"/>
            <w:shd w:val="clear" w:color="auto" w:fill="auto"/>
            <w:vAlign w:val="top"/>
          </w:tcPr>
          <w:p>
            <w:pPr>
              <w:snapToGrid w:val="0"/>
              <w:jc w:val="center"/>
              <w:rPr>
                <w:rFonts w:hint="eastAsia"/>
                <w:szCs w:val="21"/>
              </w:rPr>
            </w:pPr>
            <w:r>
              <w:rPr>
                <w:rFonts w:hint="eastAsia"/>
                <w:szCs w:val="21"/>
              </w:rPr>
              <w:t>隔声量（dB（A）)</w:t>
            </w:r>
          </w:p>
        </w:tc>
        <w:tc>
          <w:tcPr>
            <w:tcW w:w="1702" w:type="dxa"/>
            <w:shd w:val="clear" w:color="auto" w:fill="auto"/>
            <w:vAlign w:val="top"/>
          </w:tcPr>
          <w:p>
            <w:pPr>
              <w:snapToGrid w:val="0"/>
              <w:jc w:val="center"/>
              <w:rPr>
                <w:rFonts w:hint="eastAsia"/>
                <w:szCs w:val="21"/>
              </w:rPr>
            </w:pPr>
            <w:r>
              <w:rPr>
                <w:rFonts w:hint="eastAsia"/>
                <w:szCs w:val="21"/>
              </w:rPr>
              <w:t>吸声系数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81" w:type="dxa"/>
            <w:shd w:val="clear" w:color="auto" w:fill="auto"/>
            <w:vAlign w:val="top"/>
          </w:tcPr>
          <w:p>
            <w:pPr>
              <w:snapToGrid w:val="0"/>
              <w:jc w:val="center"/>
              <w:rPr>
                <w:rFonts w:hint="eastAsia"/>
                <w:szCs w:val="21"/>
              </w:rPr>
            </w:pPr>
            <w:r>
              <w:rPr>
                <w:rFonts w:hint="eastAsia"/>
                <w:szCs w:val="21"/>
              </w:rPr>
              <w:t>1</w:t>
            </w:r>
          </w:p>
        </w:tc>
        <w:tc>
          <w:tcPr>
            <w:tcW w:w="1682" w:type="dxa"/>
            <w:shd w:val="clear" w:color="auto" w:fill="auto"/>
            <w:vAlign w:val="top"/>
          </w:tcPr>
          <w:p>
            <w:pPr>
              <w:snapToGrid w:val="0"/>
              <w:jc w:val="center"/>
              <w:rPr>
                <w:rFonts w:hint="eastAsia"/>
                <w:szCs w:val="21"/>
              </w:rPr>
            </w:pPr>
            <w:r>
              <w:rPr>
                <w:rFonts w:hint="eastAsia"/>
                <w:szCs w:val="21"/>
              </w:rPr>
              <w:t>1#仓库</w:t>
            </w:r>
          </w:p>
        </w:tc>
        <w:tc>
          <w:tcPr>
            <w:tcW w:w="1728" w:type="dxa"/>
            <w:shd w:val="clear" w:color="auto" w:fill="auto"/>
            <w:vAlign w:val="top"/>
          </w:tcPr>
          <w:p>
            <w:pPr>
              <w:snapToGrid w:val="0"/>
              <w:jc w:val="center"/>
              <w:rPr>
                <w:rFonts w:hint="eastAsia"/>
                <w:szCs w:val="21"/>
              </w:rPr>
            </w:pPr>
            <w:r>
              <w:rPr>
                <w:rFonts w:hint="eastAsia"/>
                <w:szCs w:val="21"/>
              </w:rPr>
              <w:t>12</w:t>
            </w:r>
          </w:p>
        </w:tc>
        <w:tc>
          <w:tcPr>
            <w:tcW w:w="1735" w:type="dxa"/>
            <w:shd w:val="clear" w:color="auto" w:fill="auto"/>
            <w:vAlign w:val="top"/>
          </w:tcPr>
          <w:p>
            <w:pPr>
              <w:snapToGrid w:val="0"/>
              <w:jc w:val="center"/>
              <w:rPr>
                <w:rFonts w:hint="eastAsia"/>
                <w:szCs w:val="21"/>
              </w:rPr>
            </w:pPr>
            <w:r>
              <w:rPr>
                <w:rFonts w:hint="eastAsia"/>
                <w:szCs w:val="21"/>
              </w:rPr>
              <w:t>20</w:t>
            </w:r>
          </w:p>
        </w:tc>
        <w:tc>
          <w:tcPr>
            <w:tcW w:w="1702" w:type="dxa"/>
            <w:shd w:val="clear" w:color="auto" w:fill="auto"/>
            <w:vAlign w:val="top"/>
          </w:tcPr>
          <w:p>
            <w:pPr>
              <w:snapToGrid w:val="0"/>
              <w:jc w:val="center"/>
              <w:rPr>
                <w:rFonts w:hint="eastAsia"/>
                <w:szCs w:val="21"/>
              </w:rPr>
            </w:pPr>
            <w:r>
              <w:rPr>
                <w:rFonts w:hint="eastAsia"/>
                <w:szCs w:val="21"/>
              </w:rPr>
              <w:t>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81" w:type="dxa"/>
            <w:shd w:val="clear" w:color="auto" w:fill="auto"/>
            <w:vAlign w:val="top"/>
          </w:tcPr>
          <w:p>
            <w:pPr>
              <w:snapToGrid w:val="0"/>
              <w:jc w:val="center"/>
              <w:rPr>
                <w:rFonts w:hint="eastAsia"/>
                <w:szCs w:val="21"/>
              </w:rPr>
            </w:pPr>
            <w:r>
              <w:rPr>
                <w:rFonts w:hint="eastAsia"/>
                <w:szCs w:val="21"/>
              </w:rPr>
              <w:t>2</w:t>
            </w:r>
          </w:p>
        </w:tc>
        <w:tc>
          <w:tcPr>
            <w:tcW w:w="1682" w:type="dxa"/>
            <w:shd w:val="clear" w:color="auto" w:fill="auto"/>
            <w:vAlign w:val="top"/>
          </w:tcPr>
          <w:p>
            <w:pPr>
              <w:snapToGrid w:val="0"/>
              <w:jc w:val="center"/>
              <w:rPr>
                <w:rFonts w:hint="eastAsia"/>
                <w:szCs w:val="21"/>
              </w:rPr>
            </w:pPr>
            <w:r>
              <w:rPr>
                <w:rFonts w:hint="eastAsia"/>
                <w:szCs w:val="21"/>
              </w:rPr>
              <w:t>2#仓库</w:t>
            </w:r>
          </w:p>
        </w:tc>
        <w:tc>
          <w:tcPr>
            <w:tcW w:w="1728" w:type="dxa"/>
            <w:shd w:val="clear" w:color="auto" w:fill="auto"/>
            <w:vAlign w:val="top"/>
          </w:tcPr>
          <w:p>
            <w:pPr>
              <w:snapToGrid w:val="0"/>
              <w:jc w:val="center"/>
              <w:rPr>
                <w:rFonts w:hint="eastAsia"/>
                <w:szCs w:val="21"/>
              </w:rPr>
            </w:pPr>
            <w:r>
              <w:rPr>
                <w:rFonts w:hint="eastAsia"/>
                <w:szCs w:val="21"/>
              </w:rPr>
              <w:t>12</w:t>
            </w:r>
          </w:p>
        </w:tc>
        <w:tc>
          <w:tcPr>
            <w:tcW w:w="1735" w:type="dxa"/>
            <w:shd w:val="clear" w:color="auto" w:fill="auto"/>
            <w:vAlign w:val="top"/>
          </w:tcPr>
          <w:p>
            <w:pPr>
              <w:snapToGrid w:val="0"/>
              <w:jc w:val="center"/>
              <w:rPr>
                <w:rFonts w:hint="eastAsia"/>
                <w:szCs w:val="21"/>
              </w:rPr>
            </w:pPr>
            <w:r>
              <w:rPr>
                <w:rFonts w:hint="eastAsia"/>
                <w:szCs w:val="21"/>
              </w:rPr>
              <w:t>20</w:t>
            </w:r>
          </w:p>
        </w:tc>
        <w:tc>
          <w:tcPr>
            <w:tcW w:w="1702" w:type="dxa"/>
            <w:shd w:val="clear" w:color="auto" w:fill="auto"/>
            <w:vAlign w:val="top"/>
          </w:tcPr>
          <w:p>
            <w:pPr>
              <w:snapToGrid w:val="0"/>
              <w:jc w:val="center"/>
              <w:rPr>
                <w:rFonts w:hint="eastAsia"/>
                <w:szCs w:val="21"/>
              </w:rPr>
            </w:pPr>
            <w:r>
              <w:rPr>
                <w:rFonts w:hint="eastAsia"/>
                <w:szCs w:val="21"/>
              </w:rPr>
              <w:t>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81" w:type="dxa"/>
            <w:shd w:val="clear" w:color="auto" w:fill="auto"/>
            <w:vAlign w:val="top"/>
          </w:tcPr>
          <w:p>
            <w:pPr>
              <w:snapToGrid w:val="0"/>
              <w:jc w:val="center"/>
              <w:rPr>
                <w:rFonts w:hint="eastAsia"/>
                <w:szCs w:val="21"/>
              </w:rPr>
            </w:pPr>
            <w:r>
              <w:rPr>
                <w:rFonts w:hint="eastAsia"/>
                <w:szCs w:val="21"/>
              </w:rPr>
              <w:t>3</w:t>
            </w:r>
          </w:p>
        </w:tc>
        <w:tc>
          <w:tcPr>
            <w:tcW w:w="1682" w:type="dxa"/>
            <w:shd w:val="clear" w:color="auto" w:fill="auto"/>
            <w:vAlign w:val="top"/>
          </w:tcPr>
          <w:p>
            <w:pPr>
              <w:snapToGrid w:val="0"/>
              <w:jc w:val="center"/>
              <w:rPr>
                <w:rFonts w:hint="eastAsia"/>
                <w:szCs w:val="21"/>
              </w:rPr>
            </w:pPr>
            <w:r>
              <w:rPr>
                <w:rFonts w:hint="eastAsia"/>
                <w:szCs w:val="21"/>
              </w:rPr>
              <w:t>3#仓库</w:t>
            </w:r>
          </w:p>
        </w:tc>
        <w:tc>
          <w:tcPr>
            <w:tcW w:w="1728" w:type="dxa"/>
            <w:shd w:val="clear" w:color="auto" w:fill="auto"/>
            <w:vAlign w:val="top"/>
          </w:tcPr>
          <w:p>
            <w:pPr>
              <w:snapToGrid w:val="0"/>
              <w:jc w:val="center"/>
              <w:rPr>
                <w:rFonts w:hint="eastAsia"/>
                <w:szCs w:val="21"/>
              </w:rPr>
            </w:pPr>
            <w:r>
              <w:rPr>
                <w:rFonts w:hint="eastAsia"/>
                <w:szCs w:val="21"/>
              </w:rPr>
              <w:t>12</w:t>
            </w:r>
          </w:p>
        </w:tc>
        <w:tc>
          <w:tcPr>
            <w:tcW w:w="1735" w:type="dxa"/>
            <w:shd w:val="clear" w:color="auto" w:fill="auto"/>
            <w:vAlign w:val="top"/>
          </w:tcPr>
          <w:p>
            <w:pPr>
              <w:snapToGrid w:val="0"/>
              <w:jc w:val="center"/>
              <w:rPr>
                <w:rFonts w:hint="eastAsia"/>
                <w:szCs w:val="21"/>
              </w:rPr>
            </w:pPr>
            <w:r>
              <w:rPr>
                <w:rFonts w:hint="eastAsia"/>
                <w:szCs w:val="21"/>
              </w:rPr>
              <w:t>20</w:t>
            </w:r>
          </w:p>
        </w:tc>
        <w:tc>
          <w:tcPr>
            <w:tcW w:w="1702" w:type="dxa"/>
            <w:shd w:val="clear" w:color="auto" w:fill="auto"/>
            <w:vAlign w:val="top"/>
          </w:tcPr>
          <w:p>
            <w:pPr>
              <w:snapToGrid w:val="0"/>
              <w:jc w:val="center"/>
              <w:rPr>
                <w:rFonts w:hint="eastAsia"/>
                <w:szCs w:val="21"/>
              </w:rPr>
            </w:pPr>
            <w:r>
              <w:rPr>
                <w:rFonts w:hint="eastAsia"/>
                <w:szCs w:val="21"/>
              </w:rPr>
              <w:t>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81" w:type="dxa"/>
            <w:shd w:val="clear" w:color="auto" w:fill="auto"/>
            <w:vAlign w:val="top"/>
          </w:tcPr>
          <w:p>
            <w:pPr>
              <w:snapToGrid w:val="0"/>
              <w:jc w:val="center"/>
              <w:rPr>
                <w:rFonts w:hint="eastAsia"/>
                <w:szCs w:val="21"/>
              </w:rPr>
            </w:pPr>
            <w:r>
              <w:rPr>
                <w:rFonts w:hint="eastAsia"/>
                <w:szCs w:val="21"/>
              </w:rPr>
              <w:t>4</w:t>
            </w:r>
          </w:p>
        </w:tc>
        <w:tc>
          <w:tcPr>
            <w:tcW w:w="1682" w:type="dxa"/>
            <w:shd w:val="clear" w:color="auto" w:fill="auto"/>
            <w:vAlign w:val="top"/>
          </w:tcPr>
          <w:p>
            <w:pPr>
              <w:snapToGrid w:val="0"/>
              <w:jc w:val="center"/>
              <w:rPr>
                <w:rFonts w:hint="eastAsia"/>
                <w:szCs w:val="21"/>
              </w:rPr>
            </w:pPr>
            <w:r>
              <w:rPr>
                <w:rFonts w:hint="eastAsia"/>
                <w:szCs w:val="21"/>
              </w:rPr>
              <w:t>4#仓库</w:t>
            </w:r>
          </w:p>
        </w:tc>
        <w:tc>
          <w:tcPr>
            <w:tcW w:w="1728" w:type="dxa"/>
            <w:shd w:val="clear" w:color="auto" w:fill="auto"/>
            <w:vAlign w:val="top"/>
          </w:tcPr>
          <w:p>
            <w:pPr>
              <w:snapToGrid w:val="0"/>
              <w:jc w:val="center"/>
              <w:rPr>
                <w:rFonts w:hint="eastAsia"/>
                <w:szCs w:val="21"/>
              </w:rPr>
            </w:pPr>
            <w:r>
              <w:rPr>
                <w:rFonts w:hint="eastAsia"/>
                <w:szCs w:val="21"/>
              </w:rPr>
              <w:t>12</w:t>
            </w:r>
          </w:p>
        </w:tc>
        <w:tc>
          <w:tcPr>
            <w:tcW w:w="1735" w:type="dxa"/>
            <w:shd w:val="clear" w:color="auto" w:fill="auto"/>
            <w:vAlign w:val="top"/>
          </w:tcPr>
          <w:p>
            <w:pPr>
              <w:snapToGrid w:val="0"/>
              <w:jc w:val="center"/>
              <w:rPr>
                <w:rFonts w:hint="eastAsia"/>
                <w:szCs w:val="21"/>
              </w:rPr>
            </w:pPr>
            <w:r>
              <w:rPr>
                <w:rFonts w:hint="eastAsia"/>
                <w:szCs w:val="21"/>
              </w:rPr>
              <w:t>20</w:t>
            </w:r>
          </w:p>
        </w:tc>
        <w:tc>
          <w:tcPr>
            <w:tcW w:w="1702" w:type="dxa"/>
            <w:shd w:val="clear" w:color="auto" w:fill="auto"/>
            <w:vAlign w:val="top"/>
          </w:tcPr>
          <w:p>
            <w:pPr>
              <w:snapToGrid w:val="0"/>
              <w:jc w:val="center"/>
              <w:rPr>
                <w:rFonts w:hint="eastAsia"/>
                <w:szCs w:val="21"/>
              </w:rPr>
            </w:pPr>
            <w:r>
              <w:rPr>
                <w:rFonts w:hint="eastAsia"/>
                <w:szCs w:val="21"/>
              </w:rPr>
              <w:t>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81" w:type="dxa"/>
            <w:shd w:val="clear" w:color="auto" w:fill="auto"/>
            <w:vAlign w:val="top"/>
          </w:tcPr>
          <w:p>
            <w:pPr>
              <w:snapToGrid w:val="0"/>
              <w:jc w:val="center"/>
              <w:rPr>
                <w:rFonts w:hint="eastAsia"/>
                <w:szCs w:val="21"/>
              </w:rPr>
            </w:pPr>
            <w:r>
              <w:rPr>
                <w:rFonts w:hint="eastAsia"/>
                <w:szCs w:val="21"/>
              </w:rPr>
              <w:t>8</w:t>
            </w:r>
          </w:p>
        </w:tc>
        <w:tc>
          <w:tcPr>
            <w:tcW w:w="1682" w:type="dxa"/>
            <w:shd w:val="clear" w:color="auto" w:fill="auto"/>
            <w:vAlign w:val="top"/>
          </w:tcPr>
          <w:p>
            <w:pPr>
              <w:snapToGrid w:val="0"/>
              <w:jc w:val="center"/>
              <w:rPr>
                <w:rFonts w:hint="eastAsia"/>
                <w:szCs w:val="21"/>
              </w:rPr>
            </w:pPr>
            <w:r>
              <w:rPr>
                <w:rFonts w:hint="eastAsia"/>
                <w:szCs w:val="21"/>
              </w:rPr>
              <w:t>分拣中心</w:t>
            </w:r>
          </w:p>
        </w:tc>
        <w:tc>
          <w:tcPr>
            <w:tcW w:w="1728" w:type="dxa"/>
            <w:shd w:val="clear" w:color="auto" w:fill="auto"/>
            <w:vAlign w:val="top"/>
          </w:tcPr>
          <w:p>
            <w:pPr>
              <w:snapToGrid w:val="0"/>
              <w:jc w:val="center"/>
              <w:rPr>
                <w:rFonts w:hint="eastAsia"/>
                <w:szCs w:val="21"/>
              </w:rPr>
            </w:pPr>
            <w:r>
              <w:rPr>
                <w:rFonts w:hint="eastAsia"/>
                <w:szCs w:val="21"/>
              </w:rPr>
              <w:t>12</w:t>
            </w:r>
          </w:p>
        </w:tc>
        <w:tc>
          <w:tcPr>
            <w:tcW w:w="1735" w:type="dxa"/>
            <w:shd w:val="clear" w:color="auto" w:fill="auto"/>
            <w:vAlign w:val="top"/>
          </w:tcPr>
          <w:p>
            <w:pPr>
              <w:snapToGrid w:val="0"/>
              <w:jc w:val="center"/>
              <w:rPr>
                <w:rFonts w:hint="eastAsia"/>
                <w:szCs w:val="21"/>
              </w:rPr>
            </w:pPr>
            <w:r>
              <w:rPr>
                <w:rFonts w:hint="eastAsia"/>
                <w:szCs w:val="21"/>
              </w:rPr>
              <w:t>20</w:t>
            </w:r>
          </w:p>
        </w:tc>
        <w:tc>
          <w:tcPr>
            <w:tcW w:w="1702" w:type="dxa"/>
            <w:shd w:val="clear" w:color="auto" w:fill="auto"/>
            <w:vAlign w:val="top"/>
          </w:tcPr>
          <w:p>
            <w:pPr>
              <w:snapToGrid w:val="0"/>
              <w:jc w:val="center"/>
              <w:rPr>
                <w:rFonts w:hint="eastAsia"/>
                <w:szCs w:val="21"/>
              </w:rPr>
            </w:pPr>
            <w:r>
              <w:rPr>
                <w:rFonts w:hint="eastAsia"/>
                <w:szCs w:val="21"/>
              </w:rPr>
              <w:t>0.18</w:t>
            </w:r>
          </w:p>
        </w:tc>
      </w:tr>
    </w:tbl>
    <w:p>
      <w:pPr>
        <w:pStyle w:val="33"/>
        <w:adjustRightInd w:val="0"/>
        <w:snapToGrid w:val="0"/>
        <w:spacing w:after="0" w:line="240" w:lineRule="auto"/>
        <w:ind w:left="0" w:leftChars="0" w:firstLine="220"/>
        <w:jc w:val="center"/>
        <w:rPr>
          <w:rFonts w:hint="eastAsia"/>
          <w:b/>
          <w:sz w:val="22"/>
        </w:rPr>
      </w:pPr>
    </w:p>
    <w:p>
      <w:pPr>
        <w:pStyle w:val="3"/>
        <w:tabs>
          <w:tab w:val="left" w:pos="360"/>
          <w:tab w:val="left" w:pos="840"/>
        </w:tabs>
        <w:spacing w:before="0" w:after="0" w:line="360" w:lineRule="auto"/>
        <w:rPr>
          <w:rFonts w:ascii="Times New Roman" w:hAnsi="Times New Roman" w:eastAsia="宋体"/>
          <w:b/>
          <w:sz w:val="28"/>
          <w:szCs w:val="28"/>
        </w:rPr>
      </w:pPr>
      <w:bookmarkStart w:id="134" w:name="_Toc435690422"/>
      <w:r>
        <w:rPr>
          <w:rFonts w:hint="eastAsia" w:ascii="Times New Roman" w:hAnsi="Times New Roman" w:eastAsia="宋体"/>
          <w:b/>
          <w:sz w:val="28"/>
          <w:szCs w:val="28"/>
        </w:rPr>
        <w:t>3.4</w:t>
      </w:r>
      <w:r>
        <w:rPr>
          <w:rFonts w:ascii="Times New Roman" w:hAnsi="Times New Roman" w:eastAsia="宋体"/>
          <w:b/>
          <w:sz w:val="28"/>
          <w:szCs w:val="28"/>
        </w:rPr>
        <w:t>预测结果</w:t>
      </w:r>
      <w:bookmarkEnd w:id="134"/>
    </w:p>
    <w:p>
      <w:pPr>
        <w:spacing w:line="360" w:lineRule="auto"/>
        <w:ind w:firstLine="480" w:firstLineChars="200"/>
        <w:rPr>
          <w:sz w:val="24"/>
        </w:rPr>
      </w:pPr>
      <w:r>
        <w:rPr>
          <w:sz w:val="24"/>
        </w:rPr>
        <w:t>拟建项目噪声设备大部分位于厂房内，应用上述预测模式计算厂界处的噪声排放声级，并且与噪声现状值相叠加，预测其对声环境的影响。计算结果见表</w:t>
      </w:r>
      <w:r>
        <w:rPr>
          <w:rFonts w:hint="eastAsia"/>
          <w:sz w:val="24"/>
        </w:rPr>
        <w:t>3</w:t>
      </w:r>
      <w:r>
        <w:rPr>
          <w:sz w:val="24"/>
        </w:rPr>
        <w:t>.</w:t>
      </w:r>
      <w:r>
        <w:rPr>
          <w:rFonts w:hint="eastAsia"/>
          <w:sz w:val="24"/>
        </w:rPr>
        <w:t>4</w:t>
      </w:r>
      <w:r>
        <w:rPr>
          <w:sz w:val="24"/>
        </w:rPr>
        <w:t>-</w:t>
      </w:r>
      <w:r>
        <w:rPr>
          <w:rFonts w:hint="eastAsia"/>
          <w:sz w:val="24"/>
        </w:rPr>
        <w:t>1，昼夜等声级线图见图3.4-1和图3.4-2</w:t>
      </w:r>
      <w:r>
        <w:rPr>
          <w:sz w:val="24"/>
        </w:rPr>
        <w:t>。</w:t>
      </w:r>
    </w:p>
    <w:p>
      <w:pPr>
        <w:pStyle w:val="33"/>
        <w:adjustRightInd w:val="0"/>
        <w:snapToGrid w:val="0"/>
        <w:spacing w:after="0" w:line="240" w:lineRule="auto"/>
        <w:ind w:left="0" w:leftChars="0" w:firstLine="220"/>
        <w:jc w:val="center"/>
        <w:rPr>
          <w:b/>
          <w:sz w:val="22"/>
        </w:rPr>
      </w:pPr>
      <w:r>
        <w:rPr>
          <w:b/>
          <w:sz w:val="22"/>
        </w:rPr>
        <w:t>表</w:t>
      </w:r>
      <w:r>
        <w:rPr>
          <w:rFonts w:hint="eastAsia"/>
          <w:b/>
          <w:sz w:val="22"/>
        </w:rPr>
        <w:t>3</w:t>
      </w:r>
      <w:r>
        <w:rPr>
          <w:b/>
          <w:sz w:val="22"/>
        </w:rPr>
        <w:t>.</w:t>
      </w:r>
      <w:r>
        <w:rPr>
          <w:rFonts w:hint="eastAsia"/>
          <w:b/>
          <w:sz w:val="22"/>
        </w:rPr>
        <w:t>4</w:t>
      </w:r>
      <w:r>
        <w:rPr>
          <w:b/>
          <w:sz w:val="22"/>
        </w:rPr>
        <w:t>-</w:t>
      </w:r>
      <w:r>
        <w:rPr>
          <w:rFonts w:hint="eastAsia"/>
          <w:b/>
          <w:sz w:val="22"/>
        </w:rPr>
        <w:t>1</w:t>
      </w:r>
      <w:r>
        <w:rPr>
          <w:b/>
          <w:sz w:val="22"/>
        </w:rPr>
        <w:t xml:space="preserve">  厂界各测点附近声环境质量预测结果  单位：dB(A)</w:t>
      </w:r>
    </w:p>
    <w:tbl>
      <w:tblPr>
        <w:tblStyle w:val="59"/>
        <w:tblW w:w="85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4"/>
        <w:gridCol w:w="863"/>
        <w:gridCol w:w="914"/>
        <w:gridCol w:w="1165"/>
        <w:gridCol w:w="1042"/>
        <w:gridCol w:w="807"/>
        <w:gridCol w:w="887"/>
        <w:gridCol w:w="1168"/>
        <w:gridCol w:w="10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4" w:type="dxa"/>
            <w:vMerge w:val="restart"/>
            <w:vAlign w:val="center"/>
          </w:tcPr>
          <w:p>
            <w:pPr>
              <w:jc w:val="center"/>
              <w:rPr>
                <w:szCs w:val="21"/>
              </w:rPr>
            </w:pPr>
            <w:r>
              <w:rPr>
                <w:szCs w:val="21"/>
              </w:rPr>
              <w:t>测点</w:t>
            </w:r>
          </w:p>
          <w:p>
            <w:pPr>
              <w:jc w:val="center"/>
              <w:rPr>
                <w:szCs w:val="21"/>
              </w:rPr>
            </w:pPr>
            <w:r>
              <w:rPr>
                <w:szCs w:val="21"/>
              </w:rPr>
              <w:t>序号</w:t>
            </w:r>
          </w:p>
        </w:tc>
        <w:tc>
          <w:tcPr>
            <w:tcW w:w="3984" w:type="dxa"/>
            <w:gridSpan w:val="4"/>
            <w:vAlign w:val="center"/>
          </w:tcPr>
          <w:p>
            <w:pPr>
              <w:jc w:val="center"/>
              <w:rPr>
                <w:szCs w:val="21"/>
              </w:rPr>
            </w:pPr>
            <w:r>
              <w:rPr>
                <w:szCs w:val="21"/>
              </w:rPr>
              <w:t>昼  间dB(A)</w:t>
            </w:r>
          </w:p>
        </w:tc>
        <w:tc>
          <w:tcPr>
            <w:tcW w:w="3870" w:type="dxa"/>
            <w:gridSpan w:val="4"/>
            <w:vAlign w:val="center"/>
          </w:tcPr>
          <w:p>
            <w:pPr>
              <w:jc w:val="center"/>
              <w:rPr>
                <w:szCs w:val="21"/>
              </w:rPr>
            </w:pPr>
            <w:r>
              <w:rPr>
                <w:szCs w:val="21"/>
              </w:rPr>
              <w:t>夜  间dB(A)</w:t>
            </w:r>
          </w:p>
        </w:tc>
      </w:tr>
      <w:tr>
        <w:tblPrEx>
          <w:tblLayout w:type="fixed"/>
          <w:tblCellMar>
            <w:top w:w="0" w:type="dxa"/>
            <w:left w:w="108" w:type="dxa"/>
            <w:bottom w:w="0" w:type="dxa"/>
            <w:right w:w="108" w:type="dxa"/>
          </w:tblCellMar>
        </w:tblPrEx>
        <w:tc>
          <w:tcPr>
            <w:tcW w:w="674" w:type="dxa"/>
            <w:vMerge w:val="continue"/>
            <w:vAlign w:val="center"/>
          </w:tcPr>
          <w:p>
            <w:pPr>
              <w:jc w:val="center"/>
              <w:rPr>
                <w:szCs w:val="21"/>
              </w:rPr>
            </w:pPr>
          </w:p>
        </w:tc>
        <w:tc>
          <w:tcPr>
            <w:tcW w:w="863" w:type="dxa"/>
            <w:vAlign w:val="center"/>
          </w:tcPr>
          <w:p>
            <w:pPr>
              <w:jc w:val="center"/>
              <w:rPr>
                <w:szCs w:val="21"/>
              </w:rPr>
            </w:pPr>
            <w:r>
              <w:rPr>
                <w:szCs w:val="21"/>
              </w:rPr>
              <w:t>背景值</w:t>
            </w:r>
          </w:p>
        </w:tc>
        <w:tc>
          <w:tcPr>
            <w:tcW w:w="914" w:type="dxa"/>
            <w:vAlign w:val="center"/>
          </w:tcPr>
          <w:p>
            <w:pPr>
              <w:jc w:val="center"/>
              <w:rPr>
                <w:szCs w:val="21"/>
              </w:rPr>
            </w:pPr>
            <w:r>
              <w:rPr>
                <w:szCs w:val="21"/>
              </w:rPr>
              <w:t>贡献值</w:t>
            </w:r>
          </w:p>
        </w:tc>
        <w:tc>
          <w:tcPr>
            <w:tcW w:w="1165" w:type="dxa"/>
            <w:vAlign w:val="center"/>
          </w:tcPr>
          <w:p>
            <w:pPr>
              <w:jc w:val="center"/>
              <w:rPr>
                <w:szCs w:val="21"/>
              </w:rPr>
            </w:pPr>
            <w:r>
              <w:rPr>
                <w:szCs w:val="21"/>
              </w:rPr>
              <w:t>预测叠加值</w:t>
            </w:r>
          </w:p>
        </w:tc>
        <w:tc>
          <w:tcPr>
            <w:tcW w:w="1042" w:type="dxa"/>
            <w:vAlign w:val="center"/>
          </w:tcPr>
          <w:p>
            <w:pPr>
              <w:jc w:val="center"/>
              <w:rPr>
                <w:szCs w:val="21"/>
              </w:rPr>
            </w:pPr>
            <w:r>
              <w:rPr>
                <w:szCs w:val="21"/>
              </w:rPr>
              <w:t>评价结果</w:t>
            </w:r>
          </w:p>
        </w:tc>
        <w:tc>
          <w:tcPr>
            <w:tcW w:w="807" w:type="dxa"/>
            <w:vAlign w:val="center"/>
          </w:tcPr>
          <w:p>
            <w:pPr>
              <w:jc w:val="center"/>
              <w:rPr>
                <w:szCs w:val="21"/>
              </w:rPr>
            </w:pPr>
            <w:r>
              <w:rPr>
                <w:szCs w:val="21"/>
              </w:rPr>
              <w:t>背景值</w:t>
            </w:r>
          </w:p>
        </w:tc>
        <w:tc>
          <w:tcPr>
            <w:tcW w:w="887" w:type="dxa"/>
            <w:vAlign w:val="center"/>
          </w:tcPr>
          <w:p>
            <w:pPr>
              <w:jc w:val="center"/>
              <w:rPr>
                <w:szCs w:val="21"/>
              </w:rPr>
            </w:pPr>
            <w:r>
              <w:rPr>
                <w:szCs w:val="21"/>
              </w:rPr>
              <w:t>贡献值</w:t>
            </w:r>
          </w:p>
        </w:tc>
        <w:tc>
          <w:tcPr>
            <w:tcW w:w="1168" w:type="dxa"/>
            <w:vAlign w:val="center"/>
          </w:tcPr>
          <w:p>
            <w:pPr>
              <w:jc w:val="center"/>
              <w:rPr>
                <w:szCs w:val="21"/>
              </w:rPr>
            </w:pPr>
            <w:r>
              <w:rPr>
                <w:szCs w:val="21"/>
              </w:rPr>
              <w:t>预测叠加值</w:t>
            </w:r>
          </w:p>
        </w:tc>
        <w:tc>
          <w:tcPr>
            <w:tcW w:w="1008" w:type="dxa"/>
            <w:vAlign w:val="center"/>
          </w:tcPr>
          <w:p>
            <w:pPr>
              <w:jc w:val="center"/>
              <w:rPr>
                <w:szCs w:val="21"/>
              </w:rPr>
            </w:pPr>
            <w:r>
              <w:rPr>
                <w:szCs w:val="21"/>
              </w:rPr>
              <w:t>评价结果</w:t>
            </w:r>
          </w:p>
        </w:tc>
      </w:tr>
      <w:tr>
        <w:tblPrEx>
          <w:tblLayout w:type="fixed"/>
          <w:tblCellMar>
            <w:top w:w="0" w:type="dxa"/>
            <w:left w:w="108" w:type="dxa"/>
            <w:bottom w:w="0" w:type="dxa"/>
            <w:right w:w="108" w:type="dxa"/>
          </w:tblCellMar>
        </w:tblPrEx>
        <w:tc>
          <w:tcPr>
            <w:tcW w:w="674" w:type="dxa"/>
            <w:vAlign w:val="center"/>
          </w:tcPr>
          <w:p>
            <w:pPr>
              <w:jc w:val="center"/>
              <w:rPr>
                <w:szCs w:val="21"/>
              </w:rPr>
            </w:pPr>
            <w:r>
              <w:rPr>
                <w:szCs w:val="21"/>
              </w:rPr>
              <w:t>1</w:t>
            </w:r>
          </w:p>
        </w:tc>
        <w:tc>
          <w:tcPr>
            <w:tcW w:w="863" w:type="dxa"/>
            <w:vAlign w:val="center"/>
          </w:tcPr>
          <w:p>
            <w:pPr>
              <w:jc w:val="center"/>
              <w:rPr>
                <w:szCs w:val="21"/>
              </w:rPr>
            </w:pPr>
            <w:r>
              <w:rPr>
                <w:rFonts w:hint="eastAsia"/>
                <w:szCs w:val="21"/>
              </w:rPr>
              <w:t>59.2</w:t>
            </w:r>
          </w:p>
        </w:tc>
        <w:tc>
          <w:tcPr>
            <w:tcW w:w="914" w:type="dxa"/>
            <w:vAlign w:val="center"/>
          </w:tcPr>
          <w:p>
            <w:pPr>
              <w:jc w:val="center"/>
              <w:rPr>
                <w:szCs w:val="21"/>
              </w:rPr>
            </w:pPr>
            <w:r>
              <w:rPr>
                <w:rFonts w:hint="eastAsia"/>
                <w:szCs w:val="21"/>
              </w:rPr>
              <w:t>55.44</w:t>
            </w:r>
          </w:p>
        </w:tc>
        <w:tc>
          <w:tcPr>
            <w:tcW w:w="1165" w:type="dxa"/>
            <w:vAlign w:val="center"/>
          </w:tcPr>
          <w:p>
            <w:pPr>
              <w:jc w:val="center"/>
              <w:rPr>
                <w:szCs w:val="21"/>
              </w:rPr>
            </w:pPr>
            <w:r>
              <w:rPr>
                <w:rFonts w:hint="eastAsia"/>
                <w:szCs w:val="21"/>
              </w:rPr>
              <w:t>60.73</w:t>
            </w:r>
          </w:p>
        </w:tc>
        <w:tc>
          <w:tcPr>
            <w:tcW w:w="1042" w:type="dxa"/>
            <w:vAlign w:val="center"/>
          </w:tcPr>
          <w:p>
            <w:pPr>
              <w:jc w:val="center"/>
              <w:rPr>
                <w:szCs w:val="21"/>
              </w:rPr>
            </w:pPr>
            <w:r>
              <w:rPr>
                <w:szCs w:val="21"/>
              </w:rPr>
              <w:t>达  标</w:t>
            </w:r>
          </w:p>
        </w:tc>
        <w:tc>
          <w:tcPr>
            <w:tcW w:w="807" w:type="dxa"/>
            <w:vAlign w:val="center"/>
          </w:tcPr>
          <w:p>
            <w:pPr>
              <w:jc w:val="center"/>
              <w:rPr>
                <w:szCs w:val="21"/>
              </w:rPr>
            </w:pPr>
            <w:r>
              <w:rPr>
                <w:szCs w:val="21"/>
              </w:rPr>
              <w:t>49.</w:t>
            </w:r>
            <w:r>
              <w:rPr>
                <w:rFonts w:hint="eastAsia"/>
                <w:szCs w:val="21"/>
              </w:rPr>
              <w:t>7</w:t>
            </w:r>
          </w:p>
        </w:tc>
        <w:tc>
          <w:tcPr>
            <w:tcW w:w="887" w:type="dxa"/>
            <w:vAlign w:val="center"/>
          </w:tcPr>
          <w:p>
            <w:pPr>
              <w:jc w:val="center"/>
              <w:rPr>
                <w:szCs w:val="21"/>
              </w:rPr>
            </w:pPr>
            <w:r>
              <w:rPr>
                <w:rFonts w:hint="eastAsia"/>
                <w:szCs w:val="21"/>
              </w:rPr>
              <w:t>55.44</w:t>
            </w:r>
          </w:p>
        </w:tc>
        <w:tc>
          <w:tcPr>
            <w:tcW w:w="1168" w:type="dxa"/>
            <w:vAlign w:val="center"/>
          </w:tcPr>
          <w:p>
            <w:pPr>
              <w:jc w:val="center"/>
              <w:rPr>
                <w:szCs w:val="21"/>
              </w:rPr>
            </w:pPr>
            <w:r>
              <w:rPr>
                <w:rFonts w:hint="eastAsia"/>
                <w:szCs w:val="21"/>
              </w:rPr>
              <w:t>56.47</w:t>
            </w:r>
          </w:p>
        </w:tc>
        <w:tc>
          <w:tcPr>
            <w:tcW w:w="1008" w:type="dxa"/>
            <w:vAlign w:val="center"/>
          </w:tcPr>
          <w:p>
            <w:pPr>
              <w:jc w:val="center"/>
              <w:rPr>
                <w:szCs w:val="21"/>
              </w:rPr>
            </w:pPr>
            <w:r>
              <w:rPr>
                <w:szCs w:val="21"/>
              </w:rPr>
              <w:t>达  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4" w:type="dxa"/>
            <w:vAlign w:val="center"/>
          </w:tcPr>
          <w:p>
            <w:pPr>
              <w:jc w:val="center"/>
              <w:rPr>
                <w:szCs w:val="21"/>
              </w:rPr>
            </w:pPr>
            <w:r>
              <w:rPr>
                <w:szCs w:val="21"/>
              </w:rPr>
              <w:t>2</w:t>
            </w:r>
          </w:p>
        </w:tc>
        <w:tc>
          <w:tcPr>
            <w:tcW w:w="863" w:type="dxa"/>
            <w:vAlign w:val="center"/>
          </w:tcPr>
          <w:p>
            <w:pPr>
              <w:jc w:val="center"/>
              <w:rPr>
                <w:szCs w:val="21"/>
              </w:rPr>
            </w:pPr>
            <w:r>
              <w:rPr>
                <w:rFonts w:hint="eastAsia"/>
                <w:szCs w:val="21"/>
              </w:rPr>
              <w:t>57.4</w:t>
            </w:r>
          </w:p>
        </w:tc>
        <w:tc>
          <w:tcPr>
            <w:tcW w:w="914" w:type="dxa"/>
            <w:vAlign w:val="center"/>
          </w:tcPr>
          <w:p>
            <w:pPr>
              <w:jc w:val="center"/>
              <w:rPr>
                <w:szCs w:val="21"/>
              </w:rPr>
            </w:pPr>
            <w:r>
              <w:rPr>
                <w:rFonts w:hint="eastAsia"/>
                <w:szCs w:val="21"/>
              </w:rPr>
              <w:t>59.88</w:t>
            </w:r>
          </w:p>
        </w:tc>
        <w:tc>
          <w:tcPr>
            <w:tcW w:w="1165" w:type="dxa"/>
            <w:vAlign w:val="center"/>
          </w:tcPr>
          <w:p>
            <w:pPr>
              <w:jc w:val="center"/>
              <w:rPr>
                <w:szCs w:val="21"/>
              </w:rPr>
            </w:pPr>
            <w:r>
              <w:rPr>
                <w:rFonts w:hint="eastAsia"/>
                <w:szCs w:val="21"/>
              </w:rPr>
              <w:t>61.83</w:t>
            </w:r>
          </w:p>
        </w:tc>
        <w:tc>
          <w:tcPr>
            <w:tcW w:w="1042" w:type="dxa"/>
            <w:vAlign w:val="center"/>
          </w:tcPr>
          <w:p>
            <w:pPr>
              <w:jc w:val="center"/>
              <w:rPr>
                <w:szCs w:val="21"/>
              </w:rPr>
            </w:pPr>
            <w:r>
              <w:rPr>
                <w:szCs w:val="21"/>
              </w:rPr>
              <w:t>达  标</w:t>
            </w:r>
          </w:p>
        </w:tc>
        <w:tc>
          <w:tcPr>
            <w:tcW w:w="807" w:type="dxa"/>
            <w:vAlign w:val="center"/>
          </w:tcPr>
          <w:p>
            <w:pPr>
              <w:jc w:val="center"/>
              <w:rPr>
                <w:szCs w:val="21"/>
              </w:rPr>
            </w:pPr>
            <w:r>
              <w:rPr>
                <w:rFonts w:hint="eastAsia"/>
                <w:szCs w:val="21"/>
              </w:rPr>
              <w:t>48.6</w:t>
            </w:r>
          </w:p>
        </w:tc>
        <w:tc>
          <w:tcPr>
            <w:tcW w:w="887" w:type="dxa"/>
            <w:vAlign w:val="center"/>
          </w:tcPr>
          <w:p>
            <w:pPr>
              <w:jc w:val="center"/>
              <w:rPr>
                <w:szCs w:val="21"/>
              </w:rPr>
            </w:pPr>
            <w:r>
              <w:rPr>
                <w:rFonts w:hint="eastAsia"/>
                <w:szCs w:val="21"/>
              </w:rPr>
              <w:t>59.88</w:t>
            </w:r>
          </w:p>
        </w:tc>
        <w:tc>
          <w:tcPr>
            <w:tcW w:w="1168" w:type="dxa"/>
            <w:vAlign w:val="center"/>
          </w:tcPr>
          <w:p>
            <w:pPr>
              <w:jc w:val="center"/>
              <w:rPr>
                <w:szCs w:val="21"/>
              </w:rPr>
            </w:pPr>
            <w:r>
              <w:rPr>
                <w:rFonts w:hint="eastAsia"/>
                <w:szCs w:val="21"/>
              </w:rPr>
              <w:t>60.20</w:t>
            </w:r>
          </w:p>
        </w:tc>
        <w:tc>
          <w:tcPr>
            <w:tcW w:w="1008" w:type="dxa"/>
            <w:vAlign w:val="center"/>
          </w:tcPr>
          <w:p>
            <w:pPr>
              <w:jc w:val="center"/>
              <w:rPr>
                <w:szCs w:val="21"/>
              </w:rPr>
            </w:pPr>
            <w:r>
              <w:rPr>
                <w:szCs w:val="21"/>
              </w:rPr>
              <w:t>达  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4" w:type="dxa"/>
            <w:vAlign w:val="center"/>
          </w:tcPr>
          <w:p>
            <w:pPr>
              <w:jc w:val="center"/>
              <w:rPr>
                <w:szCs w:val="21"/>
              </w:rPr>
            </w:pPr>
            <w:r>
              <w:rPr>
                <w:szCs w:val="21"/>
              </w:rPr>
              <w:t>3</w:t>
            </w:r>
          </w:p>
        </w:tc>
        <w:tc>
          <w:tcPr>
            <w:tcW w:w="863" w:type="dxa"/>
            <w:vAlign w:val="center"/>
          </w:tcPr>
          <w:p>
            <w:pPr>
              <w:jc w:val="center"/>
              <w:rPr>
                <w:szCs w:val="21"/>
              </w:rPr>
            </w:pPr>
            <w:r>
              <w:rPr>
                <w:rFonts w:hint="eastAsia"/>
                <w:szCs w:val="21"/>
              </w:rPr>
              <w:t>56.9</w:t>
            </w:r>
          </w:p>
        </w:tc>
        <w:tc>
          <w:tcPr>
            <w:tcW w:w="914" w:type="dxa"/>
            <w:vAlign w:val="center"/>
          </w:tcPr>
          <w:p>
            <w:pPr>
              <w:jc w:val="center"/>
              <w:rPr>
                <w:szCs w:val="21"/>
              </w:rPr>
            </w:pPr>
            <w:r>
              <w:rPr>
                <w:rFonts w:hint="eastAsia"/>
                <w:szCs w:val="21"/>
              </w:rPr>
              <w:t>47.41</w:t>
            </w:r>
          </w:p>
        </w:tc>
        <w:tc>
          <w:tcPr>
            <w:tcW w:w="1165" w:type="dxa"/>
            <w:vAlign w:val="center"/>
          </w:tcPr>
          <w:p>
            <w:pPr>
              <w:jc w:val="center"/>
              <w:rPr>
                <w:szCs w:val="21"/>
              </w:rPr>
            </w:pPr>
            <w:r>
              <w:rPr>
                <w:rFonts w:hint="eastAsia"/>
                <w:szCs w:val="21"/>
              </w:rPr>
              <w:t>57.36</w:t>
            </w:r>
          </w:p>
        </w:tc>
        <w:tc>
          <w:tcPr>
            <w:tcW w:w="1042" w:type="dxa"/>
            <w:vAlign w:val="center"/>
          </w:tcPr>
          <w:p>
            <w:pPr>
              <w:jc w:val="center"/>
              <w:rPr>
                <w:szCs w:val="21"/>
              </w:rPr>
            </w:pPr>
            <w:r>
              <w:rPr>
                <w:szCs w:val="21"/>
              </w:rPr>
              <w:t>达  标</w:t>
            </w:r>
          </w:p>
        </w:tc>
        <w:tc>
          <w:tcPr>
            <w:tcW w:w="807" w:type="dxa"/>
            <w:vAlign w:val="center"/>
          </w:tcPr>
          <w:p>
            <w:pPr>
              <w:jc w:val="center"/>
              <w:rPr>
                <w:szCs w:val="21"/>
              </w:rPr>
            </w:pPr>
            <w:r>
              <w:rPr>
                <w:rFonts w:hint="eastAsia"/>
                <w:szCs w:val="21"/>
              </w:rPr>
              <w:t>47.5</w:t>
            </w:r>
          </w:p>
        </w:tc>
        <w:tc>
          <w:tcPr>
            <w:tcW w:w="887" w:type="dxa"/>
            <w:vAlign w:val="center"/>
          </w:tcPr>
          <w:p>
            <w:pPr>
              <w:jc w:val="center"/>
              <w:rPr>
                <w:szCs w:val="21"/>
              </w:rPr>
            </w:pPr>
            <w:r>
              <w:rPr>
                <w:rFonts w:hint="eastAsia"/>
                <w:szCs w:val="21"/>
              </w:rPr>
              <w:t>47.41</w:t>
            </w:r>
          </w:p>
        </w:tc>
        <w:tc>
          <w:tcPr>
            <w:tcW w:w="1168" w:type="dxa"/>
            <w:vAlign w:val="center"/>
          </w:tcPr>
          <w:p>
            <w:pPr>
              <w:jc w:val="center"/>
              <w:rPr>
                <w:szCs w:val="21"/>
              </w:rPr>
            </w:pPr>
            <w:r>
              <w:rPr>
                <w:rFonts w:hint="eastAsia"/>
                <w:szCs w:val="21"/>
              </w:rPr>
              <w:t>50.37</w:t>
            </w:r>
          </w:p>
        </w:tc>
        <w:tc>
          <w:tcPr>
            <w:tcW w:w="1008" w:type="dxa"/>
            <w:vAlign w:val="center"/>
          </w:tcPr>
          <w:p>
            <w:pPr>
              <w:jc w:val="center"/>
              <w:rPr>
                <w:szCs w:val="21"/>
              </w:rPr>
            </w:pPr>
            <w:r>
              <w:rPr>
                <w:szCs w:val="21"/>
              </w:rPr>
              <w:t>达  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4" w:type="dxa"/>
            <w:vAlign w:val="center"/>
          </w:tcPr>
          <w:p>
            <w:pPr>
              <w:jc w:val="center"/>
              <w:rPr>
                <w:szCs w:val="21"/>
              </w:rPr>
            </w:pPr>
            <w:r>
              <w:rPr>
                <w:szCs w:val="21"/>
              </w:rPr>
              <w:t>4</w:t>
            </w:r>
          </w:p>
        </w:tc>
        <w:tc>
          <w:tcPr>
            <w:tcW w:w="863" w:type="dxa"/>
            <w:vAlign w:val="center"/>
          </w:tcPr>
          <w:p>
            <w:pPr>
              <w:jc w:val="center"/>
              <w:rPr>
                <w:szCs w:val="21"/>
              </w:rPr>
            </w:pPr>
            <w:r>
              <w:rPr>
                <w:rFonts w:hint="eastAsia"/>
                <w:szCs w:val="21"/>
              </w:rPr>
              <w:t>58.3</w:t>
            </w:r>
          </w:p>
        </w:tc>
        <w:tc>
          <w:tcPr>
            <w:tcW w:w="914" w:type="dxa"/>
            <w:vAlign w:val="center"/>
          </w:tcPr>
          <w:p>
            <w:pPr>
              <w:jc w:val="center"/>
              <w:rPr>
                <w:szCs w:val="21"/>
              </w:rPr>
            </w:pPr>
            <w:r>
              <w:rPr>
                <w:rFonts w:hint="eastAsia"/>
                <w:szCs w:val="21"/>
              </w:rPr>
              <w:t>61.14</w:t>
            </w:r>
          </w:p>
        </w:tc>
        <w:tc>
          <w:tcPr>
            <w:tcW w:w="1165" w:type="dxa"/>
            <w:vAlign w:val="center"/>
          </w:tcPr>
          <w:p>
            <w:pPr>
              <w:jc w:val="center"/>
              <w:rPr>
                <w:szCs w:val="21"/>
              </w:rPr>
            </w:pPr>
            <w:r>
              <w:rPr>
                <w:rFonts w:hint="eastAsia"/>
                <w:szCs w:val="21"/>
              </w:rPr>
              <w:t>62.96</w:t>
            </w:r>
          </w:p>
        </w:tc>
        <w:tc>
          <w:tcPr>
            <w:tcW w:w="1042" w:type="dxa"/>
            <w:vAlign w:val="center"/>
          </w:tcPr>
          <w:p>
            <w:pPr>
              <w:jc w:val="center"/>
              <w:rPr>
                <w:szCs w:val="21"/>
              </w:rPr>
            </w:pPr>
            <w:r>
              <w:rPr>
                <w:szCs w:val="21"/>
              </w:rPr>
              <w:t>达  标</w:t>
            </w:r>
          </w:p>
        </w:tc>
        <w:tc>
          <w:tcPr>
            <w:tcW w:w="807" w:type="dxa"/>
            <w:vAlign w:val="center"/>
          </w:tcPr>
          <w:p>
            <w:pPr>
              <w:jc w:val="center"/>
              <w:rPr>
                <w:szCs w:val="21"/>
              </w:rPr>
            </w:pPr>
            <w:r>
              <w:rPr>
                <w:rFonts w:hint="eastAsia"/>
                <w:szCs w:val="21"/>
              </w:rPr>
              <w:t>49.1</w:t>
            </w:r>
          </w:p>
        </w:tc>
        <w:tc>
          <w:tcPr>
            <w:tcW w:w="887" w:type="dxa"/>
            <w:vAlign w:val="center"/>
          </w:tcPr>
          <w:p>
            <w:pPr>
              <w:jc w:val="center"/>
              <w:rPr>
                <w:szCs w:val="21"/>
              </w:rPr>
            </w:pPr>
            <w:r>
              <w:rPr>
                <w:rFonts w:hint="eastAsia"/>
                <w:szCs w:val="21"/>
              </w:rPr>
              <w:t>61.14</w:t>
            </w:r>
          </w:p>
        </w:tc>
        <w:tc>
          <w:tcPr>
            <w:tcW w:w="1168" w:type="dxa"/>
            <w:vAlign w:val="center"/>
          </w:tcPr>
          <w:p>
            <w:pPr>
              <w:jc w:val="center"/>
              <w:rPr>
                <w:szCs w:val="21"/>
              </w:rPr>
            </w:pPr>
            <w:r>
              <w:rPr>
                <w:rFonts w:hint="eastAsia"/>
                <w:szCs w:val="21"/>
              </w:rPr>
              <w:t>61.41</w:t>
            </w:r>
          </w:p>
        </w:tc>
        <w:tc>
          <w:tcPr>
            <w:tcW w:w="1008" w:type="dxa"/>
            <w:vAlign w:val="center"/>
          </w:tcPr>
          <w:p>
            <w:pPr>
              <w:jc w:val="center"/>
              <w:rPr>
                <w:szCs w:val="21"/>
              </w:rPr>
            </w:pPr>
            <w:r>
              <w:rPr>
                <w:szCs w:val="21"/>
              </w:rPr>
              <w:t>达  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4" w:type="dxa"/>
            <w:vAlign w:val="center"/>
          </w:tcPr>
          <w:p>
            <w:pPr>
              <w:jc w:val="center"/>
              <w:rPr>
                <w:szCs w:val="21"/>
              </w:rPr>
            </w:pPr>
            <w:r>
              <w:rPr>
                <w:rFonts w:hint="eastAsia"/>
                <w:szCs w:val="21"/>
              </w:rPr>
              <w:t>5</w:t>
            </w:r>
          </w:p>
        </w:tc>
        <w:tc>
          <w:tcPr>
            <w:tcW w:w="863" w:type="dxa"/>
            <w:vAlign w:val="center"/>
          </w:tcPr>
          <w:p>
            <w:pPr>
              <w:jc w:val="center"/>
              <w:rPr>
                <w:szCs w:val="21"/>
              </w:rPr>
            </w:pPr>
            <w:r>
              <w:rPr>
                <w:rFonts w:hint="eastAsia"/>
                <w:szCs w:val="21"/>
              </w:rPr>
              <w:t>58.9</w:t>
            </w:r>
          </w:p>
        </w:tc>
        <w:tc>
          <w:tcPr>
            <w:tcW w:w="914" w:type="dxa"/>
            <w:vAlign w:val="center"/>
          </w:tcPr>
          <w:p>
            <w:pPr>
              <w:jc w:val="center"/>
              <w:rPr>
                <w:szCs w:val="21"/>
              </w:rPr>
            </w:pPr>
            <w:r>
              <w:rPr>
                <w:rFonts w:hint="eastAsia"/>
                <w:szCs w:val="21"/>
              </w:rPr>
              <w:t>44.99</w:t>
            </w:r>
          </w:p>
        </w:tc>
        <w:tc>
          <w:tcPr>
            <w:tcW w:w="1165" w:type="dxa"/>
            <w:vAlign w:val="center"/>
          </w:tcPr>
          <w:p>
            <w:pPr>
              <w:jc w:val="center"/>
              <w:rPr>
                <w:szCs w:val="21"/>
              </w:rPr>
            </w:pPr>
            <w:r>
              <w:rPr>
                <w:rFonts w:hint="eastAsia"/>
                <w:szCs w:val="21"/>
              </w:rPr>
              <w:t>59.07</w:t>
            </w:r>
          </w:p>
        </w:tc>
        <w:tc>
          <w:tcPr>
            <w:tcW w:w="1042" w:type="dxa"/>
            <w:vAlign w:val="center"/>
          </w:tcPr>
          <w:p>
            <w:pPr>
              <w:jc w:val="center"/>
              <w:rPr>
                <w:szCs w:val="21"/>
              </w:rPr>
            </w:pPr>
            <w:r>
              <w:rPr>
                <w:szCs w:val="21"/>
              </w:rPr>
              <w:t>达  标</w:t>
            </w:r>
          </w:p>
        </w:tc>
        <w:tc>
          <w:tcPr>
            <w:tcW w:w="807" w:type="dxa"/>
            <w:vAlign w:val="center"/>
          </w:tcPr>
          <w:p>
            <w:pPr>
              <w:jc w:val="center"/>
              <w:rPr>
                <w:szCs w:val="21"/>
              </w:rPr>
            </w:pPr>
            <w:r>
              <w:rPr>
                <w:rFonts w:hint="eastAsia"/>
                <w:szCs w:val="21"/>
              </w:rPr>
              <w:t>49.5</w:t>
            </w:r>
          </w:p>
        </w:tc>
        <w:tc>
          <w:tcPr>
            <w:tcW w:w="887" w:type="dxa"/>
            <w:vAlign w:val="center"/>
          </w:tcPr>
          <w:p>
            <w:pPr>
              <w:jc w:val="center"/>
              <w:rPr>
                <w:szCs w:val="21"/>
              </w:rPr>
            </w:pPr>
            <w:r>
              <w:rPr>
                <w:rFonts w:hint="eastAsia"/>
                <w:szCs w:val="21"/>
              </w:rPr>
              <w:t>44.99</w:t>
            </w:r>
          </w:p>
        </w:tc>
        <w:tc>
          <w:tcPr>
            <w:tcW w:w="1168" w:type="dxa"/>
            <w:vAlign w:val="center"/>
          </w:tcPr>
          <w:p>
            <w:pPr>
              <w:jc w:val="center"/>
              <w:rPr>
                <w:szCs w:val="21"/>
              </w:rPr>
            </w:pPr>
            <w:r>
              <w:rPr>
                <w:rFonts w:hint="eastAsia"/>
                <w:szCs w:val="21"/>
              </w:rPr>
              <w:t>50.82</w:t>
            </w:r>
          </w:p>
        </w:tc>
        <w:tc>
          <w:tcPr>
            <w:tcW w:w="1008" w:type="dxa"/>
            <w:vAlign w:val="center"/>
          </w:tcPr>
          <w:p>
            <w:pPr>
              <w:jc w:val="center"/>
              <w:rPr>
                <w:szCs w:val="21"/>
              </w:rPr>
            </w:pPr>
            <w:r>
              <w:rPr>
                <w:szCs w:val="21"/>
              </w:rPr>
              <w:t>达  标</w:t>
            </w:r>
          </w:p>
        </w:tc>
      </w:tr>
    </w:tbl>
    <w:p>
      <w:pPr>
        <w:spacing w:line="200" w:lineRule="exact"/>
        <w:rPr>
          <w:rFonts w:hint="eastAsia"/>
          <w:sz w:val="20"/>
        </w:rPr>
      </w:pPr>
      <w:r>
        <w:rPr>
          <w:rFonts w:hint="eastAsia"/>
          <w:sz w:val="20"/>
        </w:rPr>
        <w:t>注：声环境质量现状监测两天，背景值取其中最大值</w:t>
      </w: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r>
        <w:rPr>
          <w:rFonts w:hint="eastAsia"/>
          <w:sz w:val="20"/>
          <w:lang w:val="zh-CN" w:eastAsia="zh-CN"/>
        </w:rPr>
        <w:drawing>
          <wp:anchor distT="0" distB="0" distL="114300" distR="114300" simplePos="0" relativeHeight="251659264" behindDoc="1" locked="0" layoutInCell="1" allowOverlap="1">
            <wp:simplePos x="0" y="0"/>
            <wp:positionH relativeFrom="column">
              <wp:posOffset>7620</wp:posOffset>
            </wp:positionH>
            <wp:positionV relativeFrom="paragraph">
              <wp:posOffset>74930</wp:posOffset>
            </wp:positionV>
            <wp:extent cx="5045075" cy="4142740"/>
            <wp:effectExtent l="0" t="0" r="14605" b="2540"/>
            <wp:wrapNone/>
            <wp:docPr id="2" name="图片 2" descr="预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预测1"/>
                    <pic:cNvPicPr>
                      <a:picLocks noChangeAspect="1"/>
                    </pic:cNvPicPr>
                  </pic:nvPicPr>
                  <pic:blipFill>
                    <a:blip r:embed="rId60"/>
                    <a:srcRect/>
                    <a:stretch>
                      <a:fillRect/>
                    </a:stretch>
                  </pic:blipFill>
                  <pic:spPr>
                    <a:xfrm>
                      <a:off x="0" y="0"/>
                      <a:ext cx="5045075" cy="4142740"/>
                    </a:xfrm>
                    <a:prstGeom prst="rect">
                      <a:avLst/>
                    </a:prstGeom>
                    <a:noFill/>
                    <a:ln w="9525">
                      <a:noFill/>
                      <a:miter/>
                    </a:ln>
                  </pic:spPr>
                </pic:pic>
              </a:graphicData>
            </a:graphic>
          </wp:anchor>
        </w:drawing>
      </w: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pStyle w:val="33"/>
        <w:adjustRightInd w:val="0"/>
        <w:snapToGrid w:val="0"/>
        <w:spacing w:after="78" w:afterLines="25" w:line="240" w:lineRule="auto"/>
        <w:ind w:left="0" w:leftChars="0"/>
        <w:jc w:val="center"/>
        <w:rPr>
          <w:rFonts w:hint="eastAsia"/>
          <w:b/>
          <w:sz w:val="24"/>
        </w:rPr>
      </w:pPr>
      <w:r>
        <w:rPr>
          <w:b/>
          <w:sz w:val="24"/>
        </w:rPr>
        <w:t xml:space="preserve">图 </w:t>
      </w:r>
      <w:r>
        <w:rPr>
          <w:rFonts w:hint="eastAsia"/>
          <w:b/>
          <w:sz w:val="24"/>
        </w:rPr>
        <w:t>3</w:t>
      </w:r>
      <w:r>
        <w:rPr>
          <w:b/>
          <w:sz w:val="24"/>
        </w:rPr>
        <w:t>.</w:t>
      </w:r>
      <w:r>
        <w:rPr>
          <w:rFonts w:hint="eastAsia"/>
          <w:b/>
          <w:sz w:val="24"/>
        </w:rPr>
        <w:t>4</w:t>
      </w:r>
      <w:r>
        <w:rPr>
          <w:b/>
          <w:sz w:val="24"/>
        </w:rPr>
        <w:t xml:space="preserve">-1 昼间噪声贡献值等值线图  </w:t>
      </w:r>
      <w:r>
        <w:rPr>
          <w:rFonts w:hint="eastAsia"/>
          <w:b/>
          <w:sz w:val="24"/>
        </w:rPr>
        <w:t>单位：</w:t>
      </w:r>
      <w:r>
        <w:rPr>
          <w:b/>
          <w:sz w:val="24"/>
        </w:rPr>
        <w:t>dB(A)</w:t>
      </w:r>
    </w:p>
    <w:p>
      <w:pPr>
        <w:spacing w:line="200" w:lineRule="exact"/>
        <w:rPr>
          <w:rFonts w:hint="eastAsia"/>
          <w:sz w:val="20"/>
        </w:rPr>
      </w:pPr>
      <w:r>
        <w:rPr>
          <w:lang w:val="zh-CN" w:eastAsia="zh-CN"/>
        </w:rPr>
        <w:drawing>
          <wp:anchor distT="0" distB="0" distL="114300" distR="114300" simplePos="0" relativeHeight="251658240" behindDoc="1" locked="0" layoutInCell="1" allowOverlap="1">
            <wp:simplePos x="0" y="0"/>
            <wp:positionH relativeFrom="column">
              <wp:posOffset>130810</wp:posOffset>
            </wp:positionH>
            <wp:positionV relativeFrom="paragraph">
              <wp:posOffset>24130</wp:posOffset>
            </wp:positionV>
            <wp:extent cx="4921885" cy="4041775"/>
            <wp:effectExtent l="0" t="0" r="635" b="12065"/>
            <wp:wrapNone/>
            <wp:docPr id="1" name="图片 1" descr="预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预测1"/>
                    <pic:cNvPicPr>
                      <a:picLocks noChangeAspect="1"/>
                    </pic:cNvPicPr>
                  </pic:nvPicPr>
                  <pic:blipFill>
                    <a:blip r:embed="rId60"/>
                    <a:srcRect/>
                    <a:stretch>
                      <a:fillRect/>
                    </a:stretch>
                  </pic:blipFill>
                  <pic:spPr>
                    <a:xfrm>
                      <a:off x="0" y="0"/>
                      <a:ext cx="4921885" cy="4041775"/>
                    </a:xfrm>
                    <a:prstGeom prst="rect">
                      <a:avLst/>
                    </a:prstGeom>
                    <a:noFill/>
                    <a:ln w="9525">
                      <a:noFill/>
                      <a:miter/>
                    </a:ln>
                  </pic:spPr>
                </pic:pic>
              </a:graphicData>
            </a:graphic>
          </wp:anchor>
        </w:drawing>
      </w: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spacing w:line="200" w:lineRule="exact"/>
        <w:rPr>
          <w:rFonts w:hint="eastAsia"/>
          <w:sz w:val="20"/>
        </w:rPr>
      </w:pPr>
    </w:p>
    <w:p>
      <w:pPr>
        <w:pStyle w:val="33"/>
        <w:adjustRightInd w:val="0"/>
        <w:snapToGrid w:val="0"/>
        <w:spacing w:after="78" w:afterLines="25" w:line="240" w:lineRule="auto"/>
        <w:ind w:left="0" w:leftChars="0"/>
        <w:jc w:val="center"/>
        <w:rPr>
          <w:b/>
          <w:sz w:val="24"/>
        </w:rPr>
      </w:pPr>
      <w:r>
        <w:rPr>
          <w:b/>
          <w:sz w:val="24"/>
        </w:rPr>
        <w:t xml:space="preserve">图 </w:t>
      </w:r>
      <w:r>
        <w:rPr>
          <w:rFonts w:hint="eastAsia"/>
          <w:b/>
          <w:sz w:val="24"/>
        </w:rPr>
        <w:t>3</w:t>
      </w:r>
      <w:r>
        <w:rPr>
          <w:b/>
          <w:sz w:val="24"/>
        </w:rPr>
        <w:t>.</w:t>
      </w:r>
      <w:r>
        <w:rPr>
          <w:rFonts w:hint="eastAsia"/>
          <w:b/>
          <w:sz w:val="24"/>
        </w:rPr>
        <w:t>4</w:t>
      </w:r>
      <w:r>
        <w:rPr>
          <w:b/>
          <w:sz w:val="24"/>
        </w:rPr>
        <w:t xml:space="preserve">-2 夜间噪声贡献值等值线图    </w:t>
      </w:r>
      <w:r>
        <w:rPr>
          <w:rFonts w:hint="eastAsia"/>
          <w:b/>
          <w:sz w:val="24"/>
        </w:rPr>
        <w:t>单位：</w:t>
      </w:r>
      <w:r>
        <w:rPr>
          <w:b/>
          <w:sz w:val="24"/>
        </w:rPr>
        <w:t>dB(A)</w:t>
      </w:r>
    </w:p>
    <w:p>
      <w:pPr>
        <w:pStyle w:val="3"/>
        <w:tabs>
          <w:tab w:val="left" w:pos="360"/>
          <w:tab w:val="left" w:pos="840"/>
        </w:tabs>
        <w:spacing w:before="0" w:after="0" w:line="360" w:lineRule="auto"/>
        <w:rPr>
          <w:rFonts w:ascii="Times New Roman" w:hAnsi="Times New Roman" w:eastAsia="宋体"/>
          <w:b/>
          <w:sz w:val="28"/>
          <w:szCs w:val="28"/>
        </w:rPr>
      </w:pPr>
      <w:bookmarkStart w:id="135" w:name="_Toc435690423"/>
      <w:r>
        <w:rPr>
          <w:rFonts w:hint="eastAsia" w:ascii="Times New Roman" w:hAnsi="Times New Roman" w:eastAsia="宋体"/>
          <w:b/>
          <w:sz w:val="28"/>
          <w:szCs w:val="28"/>
        </w:rPr>
        <w:t>3.5</w:t>
      </w:r>
      <w:r>
        <w:rPr>
          <w:rFonts w:ascii="Times New Roman" w:hAnsi="Times New Roman" w:eastAsia="宋体"/>
          <w:b/>
          <w:sz w:val="28"/>
          <w:szCs w:val="28"/>
        </w:rPr>
        <w:t>声环境影响评价结论</w:t>
      </w:r>
      <w:bookmarkEnd w:id="135"/>
    </w:p>
    <w:p>
      <w:pPr>
        <w:autoSpaceDE w:val="0"/>
        <w:autoSpaceDN w:val="0"/>
        <w:adjustRightInd w:val="0"/>
        <w:snapToGrid w:val="0"/>
        <w:spacing w:line="360" w:lineRule="auto"/>
        <w:ind w:firstLine="480" w:firstLineChars="200"/>
        <w:rPr>
          <w:rFonts w:hint="eastAsia"/>
          <w:sz w:val="24"/>
        </w:rPr>
      </w:pPr>
      <w:r>
        <w:rPr>
          <w:sz w:val="24"/>
        </w:rPr>
        <w:t>从表</w:t>
      </w:r>
      <w:r>
        <w:rPr>
          <w:rFonts w:hint="eastAsia"/>
          <w:sz w:val="24"/>
        </w:rPr>
        <w:t>3</w:t>
      </w:r>
      <w:r>
        <w:rPr>
          <w:sz w:val="24"/>
        </w:rPr>
        <w:t>.</w:t>
      </w:r>
      <w:r>
        <w:rPr>
          <w:rFonts w:hint="eastAsia"/>
          <w:sz w:val="24"/>
        </w:rPr>
        <w:t>4</w:t>
      </w:r>
      <w:r>
        <w:rPr>
          <w:sz w:val="24"/>
        </w:rPr>
        <w:t>-</w:t>
      </w:r>
      <w:r>
        <w:rPr>
          <w:rFonts w:hint="eastAsia"/>
          <w:sz w:val="24"/>
        </w:rPr>
        <w:t>1</w:t>
      </w:r>
      <w:r>
        <w:rPr>
          <w:sz w:val="24"/>
        </w:rPr>
        <w:t>可知，建设项目在采取相应的规划布局及相关噪声防治措施之后，项目</w:t>
      </w:r>
      <w:r>
        <w:rPr>
          <w:rFonts w:hint="eastAsia"/>
          <w:sz w:val="24"/>
        </w:rPr>
        <w:t>东南</w:t>
      </w:r>
      <w:r>
        <w:rPr>
          <w:sz w:val="24"/>
        </w:rPr>
        <w:t>厂界</w:t>
      </w:r>
      <w:r>
        <w:rPr>
          <w:rFonts w:hint="eastAsia"/>
          <w:sz w:val="24"/>
        </w:rPr>
        <w:t>、东厂界、西厂界</w:t>
      </w:r>
      <w:r>
        <w:rPr>
          <w:sz w:val="24"/>
        </w:rPr>
        <w:t>和</w:t>
      </w:r>
      <w:r>
        <w:rPr>
          <w:rFonts w:hint="eastAsia"/>
          <w:sz w:val="24"/>
        </w:rPr>
        <w:t>西</w:t>
      </w:r>
      <w:r>
        <w:rPr>
          <w:sz w:val="24"/>
        </w:rPr>
        <w:t>南厂界昼夜噪声贡献值</w:t>
      </w:r>
      <w:r>
        <w:rPr>
          <w:rFonts w:hint="eastAsia"/>
          <w:sz w:val="24"/>
        </w:rPr>
        <w:t>能够</w:t>
      </w:r>
      <w:r>
        <w:rPr>
          <w:sz w:val="24"/>
        </w:rPr>
        <w:t>达到《工业企业厂界环境噪声排放标准》(GB12348－2008)中</w:t>
      </w:r>
      <w:r>
        <w:rPr>
          <w:rFonts w:hint="eastAsia"/>
          <w:sz w:val="24"/>
        </w:rPr>
        <w:t>3</w:t>
      </w:r>
      <w:r>
        <w:rPr>
          <w:sz w:val="24"/>
        </w:rPr>
        <w:t>类标准</w:t>
      </w:r>
      <w:r>
        <w:rPr>
          <w:rFonts w:hint="eastAsia"/>
          <w:sz w:val="24"/>
        </w:rPr>
        <w:t>；</w:t>
      </w:r>
      <w:r>
        <w:rPr>
          <w:sz w:val="24"/>
        </w:rPr>
        <w:t>北厂界昼夜噪声贡献值能够达到《工业企业厂界环境噪声排放标准》(GB12348－2008)中</w:t>
      </w:r>
      <w:r>
        <w:rPr>
          <w:rFonts w:hint="eastAsia"/>
          <w:sz w:val="24"/>
        </w:rPr>
        <w:t>4</w:t>
      </w:r>
      <w:r>
        <w:rPr>
          <w:sz w:val="24"/>
        </w:rPr>
        <w:t>类标准</w:t>
      </w:r>
      <w:r>
        <w:rPr>
          <w:rFonts w:hint="eastAsia"/>
          <w:sz w:val="24"/>
        </w:rPr>
        <w:t>。各噪声预测点与本底值叠加后的预测值，仍能满足各点相应的声环境功能要求。</w:t>
      </w:r>
    </w:p>
    <w:p>
      <w:pPr>
        <w:pStyle w:val="3"/>
        <w:tabs>
          <w:tab w:val="left" w:pos="360"/>
          <w:tab w:val="left" w:pos="840"/>
        </w:tabs>
        <w:spacing w:before="0" w:after="0" w:line="360" w:lineRule="auto"/>
        <w:rPr>
          <w:sz w:val="24"/>
        </w:rPr>
      </w:pPr>
      <w:bookmarkStart w:id="136" w:name="_Toc433723103"/>
      <w:bookmarkStart w:id="137" w:name="_Toc18727835"/>
      <w:bookmarkStart w:id="138" w:name="_Toc15174663"/>
      <w:bookmarkStart w:id="139" w:name="_Toc14862975"/>
      <w:bookmarkStart w:id="140" w:name="_Toc435690424"/>
      <w:r>
        <w:rPr>
          <w:rFonts w:hint="eastAsia" w:ascii="Times New Roman" w:hAnsi="Times New Roman" w:eastAsia="宋体"/>
          <w:b/>
          <w:sz w:val="28"/>
          <w:szCs w:val="28"/>
        </w:rPr>
        <w:t>3.6噪声治理措施评述</w:t>
      </w:r>
      <w:bookmarkEnd w:id="136"/>
      <w:bookmarkEnd w:id="137"/>
      <w:bookmarkEnd w:id="138"/>
      <w:bookmarkEnd w:id="139"/>
      <w:bookmarkEnd w:id="140"/>
    </w:p>
    <w:p>
      <w:pPr>
        <w:autoSpaceDE w:val="0"/>
        <w:autoSpaceDN w:val="0"/>
        <w:adjustRightInd w:val="0"/>
        <w:snapToGrid w:val="0"/>
        <w:spacing w:line="360" w:lineRule="auto"/>
        <w:ind w:firstLine="480" w:firstLineChars="200"/>
        <w:rPr>
          <w:sz w:val="24"/>
        </w:rPr>
      </w:pPr>
      <w:r>
        <w:rPr>
          <w:rFonts w:hint="eastAsia"/>
          <w:sz w:val="24"/>
        </w:rPr>
        <w:t>营运期噪声主要为运货车辆的交通噪声、物流仓库内人员活动社会噪声及装卸作业噪声、设备噪声。</w:t>
      </w:r>
    </w:p>
    <w:p>
      <w:pPr>
        <w:pStyle w:val="4"/>
        <w:adjustRightInd w:val="0"/>
        <w:snapToGrid w:val="0"/>
        <w:spacing w:before="0" w:after="0" w:line="360" w:lineRule="auto"/>
        <w:rPr>
          <w:bCs w:val="0"/>
          <w:sz w:val="24"/>
          <w:szCs w:val="24"/>
        </w:rPr>
      </w:pPr>
      <w:bookmarkStart w:id="141" w:name="_Toc435690425"/>
      <w:r>
        <w:rPr>
          <w:rFonts w:hint="eastAsia"/>
          <w:bCs w:val="0"/>
          <w:sz w:val="24"/>
          <w:szCs w:val="24"/>
        </w:rPr>
        <w:t>3.6.1交通噪声防治</w:t>
      </w:r>
      <w:bookmarkEnd w:id="141"/>
    </w:p>
    <w:p>
      <w:pPr>
        <w:autoSpaceDE w:val="0"/>
        <w:autoSpaceDN w:val="0"/>
        <w:adjustRightInd w:val="0"/>
        <w:snapToGrid w:val="0"/>
        <w:spacing w:line="360" w:lineRule="auto"/>
        <w:ind w:firstLine="480" w:firstLineChars="200"/>
        <w:rPr>
          <w:sz w:val="24"/>
        </w:rPr>
      </w:pPr>
      <w:r>
        <w:rPr>
          <w:rFonts w:hint="eastAsia"/>
          <w:sz w:val="24"/>
        </w:rPr>
        <w:t>合理规划与布局，尽量使高噪声源远离敏感保护目标。本项目将主要出入口设置于项目厂界北侧，进出场主干道位于项目内部，两条主干道分别为南北向和东西向，远离居民区，且与南侧居民区中间隔有研发楼，研发楼本身也起到一定的降噪作用，项目总平面布置详见图3。项目建成后建设单位通过采取物流中心内部禁止鸣笛、限速，合理规划项目内的车流方向，保持车流畅通，同时通过建筑物隔声、距离衰减可使交通噪声得到有效的控制，避免出现高噪声对周围环境的影响。</w:t>
      </w:r>
    </w:p>
    <w:p>
      <w:pPr>
        <w:pStyle w:val="4"/>
        <w:adjustRightInd w:val="0"/>
        <w:snapToGrid w:val="0"/>
        <w:spacing w:before="0" w:after="0" w:line="360" w:lineRule="auto"/>
        <w:rPr>
          <w:bCs w:val="0"/>
          <w:sz w:val="24"/>
          <w:szCs w:val="24"/>
        </w:rPr>
      </w:pPr>
      <w:bookmarkStart w:id="142" w:name="_Toc435690426"/>
      <w:r>
        <w:rPr>
          <w:rFonts w:hint="eastAsia"/>
          <w:bCs w:val="0"/>
          <w:sz w:val="24"/>
          <w:szCs w:val="24"/>
        </w:rPr>
        <w:t>3.6.2社会噪声</w:t>
      </w:r>
      <w:bookmarkEnd w:id="142"/>
    </w:p>
    <w:p>
      <w:pPr>
        <w:autoSpaceDE w:val="0"/>
        <w:autoSpaceDN w:val="0"/>
        <w:adjustRightInd w:val="0"/>
        <w:snapToGrid w:val="0"/>
        <w:spacing w:line="360" w:lineRule="auto"/>
        <w:ind w:firstLine="480" w:firstLineChars="200"/>
        <w:rPr>
          <w:sz w:val="24"/>
        </w:rPr>
      </w:pPr>
      <w:r>
        <w:rPr>
          <w:rFonts w:hint="eastAsia"/>
          <w:sz w:val="24"/>
        </w:rPr>
        <w:t>社会噪声主要是来自中心内人类活动及装卸货物时的嘈杂声。根据类比调查，该类噪声声级一般在</w:t>
      </w:r>
      <w:r>
        <w:rPr>
          <w:sz w:val="24"/>
        </w:rPr>
        <w:t>60</w:t>
      </w:r>
      <w:r>
        <w:rPr>
          <w:rFonts w:hint="eastAsia"/>
          <w:sz w:val="24"/>
        </w:rPr>
        <w:t>～</w:t>
      </w:r>
      <w:r>
        <w:rPr>
          <w:sz w:val="24"/>
        </w:rPr>
        <w:t>75dB(A)</w:t>
      </w:r>
      <w:r>
        <w:rPr>
          <w:rFonts w:hint="eastAsia"/>
          <w:sz w:val="24"/>
        </w:rPr>
        <w:t>，并且主要发生在昼间。应合理规划与布局，尽量使高噪声源远离敏感保护目标。社会噪声通过墙体及绿化隔声、距离衰减后对外界环境影响很小。</w:t>
      </w:r>
    </w:p>
    <w:p>
      <w:pPr>
        <w:pStyle w:val="4"/>
        <w:adjustRightInd w:val="0"/>
        <w:snapToGrid w:val="0"/>
        <w:spacing w:before="0" w:after="0" w:line="360" w:lineRule="auto"/>
        <w:rPr>
          <w:bCs w:val="0"/>
          <w:sz w:val="24"/>
          <w:szCs w:val="24"/>
        </w:rPr>
      </w:pPr>
      <w:bookmarkStart w:id="143" w:name="_Toc435690427"/>
      <w:r>
        <w:rPr>
          <w:rFonts w:hint="eastAsia"/>
          <w:bCs w:val="0"/>
          <w:sz w:val="24"/>
          <w:szCs w:val="24"/>
        </w:rPr>
        <w:t>3.6.3设备噪声</w:t>
      </w:r>
      <w:bookmarkEnd w:id="143"/>
    </w:p>
    <w:p>
      <w:pPr>
        <w:autoSpaceDE w:val="0"/>
        <w:autoSpaceDN w:val="0"/>
        <w:adjustRightInd w:val="0"/>
        <w:snapToGrid w:val="0"/>
        <w:spacing w:line="360" w:lineRule="auto"/>
        <w:ind w:firstLine="480" w:firstLineChars="200"/>
        <w:rPr>
          <w:sz w:val="24"/>
        </w:rPr>
      </w:pPr>
      <w:r>
        <w:rPr>
          <w:rFonts w:hint="eastAsia"/>
          <w:sz w:val="24"/>
        </w:rPr>
        <w:t>项目主要噪声源为消防水泵及</w:t>
      </w:r>
      <w:r>
        <w:rPr>
          <w:sz w:val="24"/>
        </w:rPr>
        <w:t>VRV</w:t>
      </w:r>
      <w:r>
        <w:rPr>
          <w:rFonts w:hint="eastAsia"/>
          <w:sz w:val="24"/>
        </w:rPr>
        <w:t>空调系统室外机组等设备，噪声源强在</w:t>
      </w:r>
      <w:r>
        <w:rPr>
          <w:sz w:val="24"/>
        </w:rPr>
        <w:t>90-100dB(A)</w:t>
      </w:r>
      <w:r>
        <w:rPr>
          <w:rFonts w:hint="eastAsia"/>
          <w:sz w:val="24"/>
        </w:rPr>
        <w:t>左右。为控制噪声传播，确保厂界噪声达标，本评价建议项目单位采取以下噪声控制措施：</w:t>
      </w:r>
    </w:p>
    <w:p>
      <w:pPr>
        <w:autoSpaceDE w:val="0"/>
        <w:autoSpaceDN w:val="0"/>
        <w:adjustRightInd w:val="0"/>
        <w:snapToGrid w:val="0"/>
        <w:spacing w:line="360" w:lineRule="auto"/>
        <w:ind w:firstLine="480" w:firstLineChars="200"/>
        <w:rPr>
          <w:sz w:val="24"/>
        </w:rPr>
      </w:pPr>
      <w:r>
        <w:rPr>
          <w:rFonts w:hint="eastAsia"/>
          <w:sz w:val="24"/>
        </w:rPr>
        <w:t>①在满足正常运营的前提下，选用先进的低噪声设备，从声源上降低设备本身的噪声；</w:t>
      </w:r>
    </w:p>
    <w:p>
      <w:pPr>
        <w:autoSpaceDE w:val="0"/>
        <w:autoSpaceDN w:val="0"/>
        <w:adjustRightInd w:val="0"/>
        <w:snapToGrid w:val="0"/>
        <w:spacing w:line="360" w:lineRule="auto"/>
        <w:ind w:firstLine="480" w:firstLineChars="200"/>
        <w:rPr>
          <w:sz w:val="24"/>
        </w:rPr>
      </w:pPr>
      <w:r>
        <w:rPr>
          <w:rFonts w:hint="eastAsia"/>
          <w:sz w:val="24"/>
        </w:rPr>
        <w:t>②合理规划与布局，尽量将高噪声源设备置于密闭房间内或远离厂界处。本项目将水泵设置于室内，增强泵房密闭性；</w:t>
      </w:r>
      <w:r>
        <w:rPr>
          <w:sz w:val="24"/>
        </w:rPr>
        <w:t xml:space="preserve"> </w:t>
      </w:r>
    </w:p>
    <w:p>
      <w:pPr>
        <w:autoSpaceDE w:val="0"/>
        <w:autoSpaceDN w:val="0"/>
        <w:adjustRightInd w:val="0"/>
        <w:snapToGrid w:val="0"/>
        <w:spacing w:line="360" w:lineRule="auto"/>
        <w:ind w:firstLine="480" w:firstLineChars="200"/>
        <w:rPr>
          <w:sz w:val="24"/>
        </w:rPr>
      </w:pPr>
      <w:r>
        <w:rPr>
          <w:rFonts w:hint="eastAsia"/>
          <w:sz w:val="24"/>
        </w:rPr>
        <w:t>③对设备风机进、出风口安装消声器，大型设备采用减振基础和柔性接口等措施；</w:t>
      </w:r>
    </w:p>
    <w:p>
      <w:pPr>
        <w:autoSpaceDE w:val="0"/>
        <w:autoSpaceDN w:val="0"/>
        <w:adjustRightInd w:val="0"/>
        <w:snapToGrid w:val="0"/>
        <w:spacing w:line="360" w:lineRule="auto"/>
        <w:ind w:firstLine="480" w:firstLineChars="200"/>
        <w:rPr>
          <w:sz w:val="24"/>
        </w:rPr>
      </w:pPr>
      <w:r>
        <w:rPr>
          <w:rFonts w:hint="eastAsia"/>
          <w:sz w:val="24"/>
        </w:rPr>
        <w:t>④加强设备的维护，确保设备处于良好的运转状态，杜绝因设备不正常运转时产生的高噪声现象；</w:t>
      </w:r>
    </w:p>
    <w:p>
      <w:pPr>
        <w:autoSpaceDE w:val="0"/>
        <w:autoSpaceDN w:val="0"/>
        <w:adjustRightInd w:val="0"/>
        <w:snapToGrid w:val="0"/>
        <w:spacing w:line="360" w:lineRule="auto"/>
        <w:ind w:firstLine="480" w:firstLineChars="200"/>
        <w:rPr>
          <w:sz w:val="24"/>
        </w:rPr>
      </w:pPr>
      <w:r>
        <w:rPr>
          <w:rFonts w:hint="eastAsia"/>
          <w:sz w:val="24"/>
        </w:rPr>
        <w:t>⑤加强绿化，在厂界周围种植一定数量的乔木和灌木，从而减轻噪声传播对厂界环境影响。</w:t>
      </w:r>
    </w:p>
    <w:p>
      <w:pPr>
        <w:pStyle w:val="4"/>
        <w:adjustRightInd w:val="0"/>
        <w:snapToGrid w:val="0"/>
        <w:spacing w:before="0" w:after="0" w:line="360" w:lineRule="auto"/>
        <w:rPr>
          <w:bCs w:val="0"/>
          <w:sz w:val="24"/>
          <w:szCs w:val="24"/>
        </w:rPr>
      </w:pPr>
      <w:bookmarkStart w:id="144" w:name="_Toc435690428"/>
      <w:r>
        <w:rPr>
          <w:rFonts w:hint="eastAsia"/>
          <w:bCs w:val="0"/>
          <w:sz w:val="24"/>
          <w:szCs w:val="24"/>
        </w:rPr>
        <w:t>3.6.4夜间噪声控制与管理</w:t>
      </w:r>
      <w:bookmarkEnd w:id="144"/>
    </w:p>
    <w:p>
      <w:pPr>
        <w:autoSpaceDE w:val="0"/>
        <w:autoSpaceDN w:val="0"/>
        <w:adjustRightInd w:val="0"/>
        <w:snapToGrid w:val="0"/>
        <w:spacing w:line="360" w:lineRule="auto"/>
        <w:ind w:firstLine="480" w:firstLineChars="200"/>
        <w:rPr>
          <w:sz w:val="24"/>
        </w:rPr>
      </w:pPr>
      <w:r>
        <w:rPr>
          <w:rFonts w:hint="eastAsia"/>
          <w:sz w:val="24"/>
        </w:rPr>
        <w:t>由于本项目是</w:t>
      </w:r>
      <w:r>
        <w:rPr>
          <w:sz w:val="24"/>
        </w:rPr>
        <w:t>24</w:t>
      </w:r>
      <w:r>
        <w:rPr>
          <w:rFonts w:hint="eastAsia"/>
          <w:sz w:val="24"/>
        </w:rPr>
        <w:t>小时运行，为了避免本项目夜间交通运输及装卸作业噪声对周边敏感保护目标的影响，应加强夜间噪声控制与管理，主要措施包括：合理规划与制定项目昼夜运营计划，尽量将集中式物流配送作业安排在昼间；物品装卸轻拿轻放；运货车辆夜间在物流中心内部及出入道路沿线行驶时，均应限速并禁止鸣笛，对项目内的车流方向合理规划，保持车流畅通。</w:t>
      </w:r>
    </w:p>
    <w:p>
      <w:pPr>
        <w:autoSpaceDE w:val="0"/>
        <w:autoSpaceDN w:val="0"/>
        <w:adjustRightInd w:val="0"/>
        <w:snapToGrid w:val="0"/>
        <w:spacing w:line="360" w:lineRule="auto"/>
        <w:ind w:firstLine="480" w:firstLineChars="200"/>
        <w:rPr>
          <w:sz w:val="24"/>
        </w:rPr>
      </w:pPr>
      <w:r>
        <w:rPr>
          <w:rFonts w:hint="eastAsia"/>
          <w:sz w:val="24"/>
        </w:rPr>
        <w:t>在采取以上处理措施后，项目北厂界噪声排放能达到《工业企业厂界环境噪声排放标准》</w:t>
      </w:r>
      <w:r>
        <w:rPr>
          <w:sz w:val="24"/>
        </w:rPr>
        <w:t>(GB12348</w:t>
      </w:r>
      <w:r>
        <w:rPr>
          <w:rFonts w:hint="eastAsia"/>
          <w:sz w:val="24"/>
        </w:rPr>
        <w:t>－</w:t>
      </w:r>
      <w:r>
        <w:rPr>
          <w:sz w:val="24"/>
        </w:rPr>
        <w:t>2008)</w:t>
      </w:r>
      <w:r>
        <w:rPr>
          <w:rFonts w:hint="eastAsia"/>
          <w:sz w:val="24"/>
        </w:rPr>
        <w:t>中的</w:t>
      </w:r>
      <w:r>
        <w:rPr>
          <w:sz w:val="24"/>
        </w:rPr>
        <w:t>4</w:t>
      </w:r>
      <w:r>
        <w:rPr>
          <w:rFonts w:hint="eastAsia"/>
          <w:sz w:val="24"/>
        </w:rPr>
        <w:t>类标准，东厂界、西厂界和北厂界能够达到</w:t>
      </w:r>
      <w:r>
        <w:rPr>
          <w:sz w:val="24"/>
        </w:rPr>
        <w:t>3</w:t>
      </w:r>
      <w:r>
        <w:rPr>
          <w:rFonts w:hint="eastAsia"/>
          <w:sz w:val="24"/>
        </w:rPr>
        <w:t>类标准。</w:t>
      </w:r>
    </w:p>
    <w:p>
      <w:pPr>
        <w:pStyle w:val="3"/>
        <w:tabs>
          <w:tab w:val="left" w:pos="360"/>
          <w:tab w:val="left" w:pos="840"/>
        </w:tabs>
        <w:spacing w:before="0" w:after="0" w:line="360" w:lineRule="auto"/>
        <w:rPr>
          <w:rFonts w:ascii="Times New Roman" w:hAnsi="Times New Roman" w:eastAsia="宋体"/>
          <w:b/>
          <w:sz w:val="28"/>
          <w:szCs w:val="28"/>
        </w:rPr>
      </w:pPr>
      <w:bookmarkStart w:id="145" w:name="_Toc319912659"/>
      <w:bookmarkStart w:id="146" w:name="_Toc433723085"/>
      <w:bookmarkStart w:id="147" w:name="_Toc435690429"/>
      <w:r>
        <w:rPr>
          <w:rFonts w:hint="eastAsia" w:ascii="Times New Roman" w:hAnsi="Times New Roman" w:eastAsia="宋体"/>
          <w:b/>
          <w:sz w:val="28"/>
          <w:szCs w:val="28"/>
        </w:rPr>
        <w:t>3.6</w:t>
      </w:r>
      <w:r>
        <w:rPr>
          <w:rFonts w:ascii="Times New Roman" w:hAnsi="Times New Roman" w:eastAsia="宋体"/>
          <w:b/>
          <w:sz w:val="28"/>
          <w:szCs w:val="28"/>
        </w:rPr>
        <w:t>运输环节环境影响分析</w:t>
      </w:r>
      <w:bookmarkEnd w:id="145"/>
      <w:bookmarkEnd w:id="146"/>
      <w:bookmarkEnd w:id="147"/>
    </w:p>
    <w:p>
      <w:pPr>
        <w:pStyle w:val="4"/>
        <w:adjustRightInd w:val="0"/>
        <w:snapToGrid w:val="0"/>
        <w:spacing w:before="0" w:after="0" w:line="360" w:lineRule="auto"/>
        <w:rPr>
          <w:bCs w:val="0"/>
          <w:sz w:val="24"/>
          <w:szCs w:val="24"/>
        </w:rPr>
      </w:pPr>
      <w:bookmarkStart w:id="148" w:name="_Toc435690430"/>
      <w:r>
        <w:rPr>
          <w:rFonts w:hint="eastAsia"/>
          <w:bCs w:val="0"/>
          <w:sz w:val="24"/>
          <w:szCs w:val="24"/>
        </w:rPr>
        <w:t>3.6.1</w:t>
      </w:r>
      <w:r>
        <w:rPr>
          <w:bCs w:val="0"/>
          <w:sz w:val="24"/>
          <w:szCs w:val="24"/>
        </w:rPr>
        <w:t>周边道路设施现状及运输需求分析</w:t>
      </w:r>
      <w:bookmarkEnd w:id="148"/>
    </w:p>
    <w:p>
      <w:pPr>
        <w:autoSpaceDE w:val="0"/>
        <w:autoSpaceDN w:val="0"/>
        <w:adjustRightInd w:val="0"/>
        <w:snapToGrid w:val="0"/>
        <w:spacing w:line="360" w:lineRule="auto"/>
        <w:ind w:firstLine="480" w:firstLineChars="200"/>
        <w:rPr>
          <w:sz w:val="24"/>
        </w:rPr>
      </w:pPr>
      <w:r>
        <w:rPr>
          <w:sz w:val="24"/>
        </w:rPr>
        <w:t>项目所在地周边现状主要为</w:t>
      </w:r>
      <w:r>
        <w:rPr>
          <w:rFonts w:hint="eastAsia"/>
          <w:sz w:val="24"/>
        </w:rPr>
        <w:t>龙藏大道</w:t>
      </w:r>
      <w:r>
        <w:rPr>
          <w:sz w:val="24"/>
        </w:rPr>
        <w:t>、</w:t>
      </w:r>
      <w:r>
        <w:rPr>
          <w:rFonts w:hint="eastAsia"/>
          <w:sz w:val="24"/>
        </w:rPr>
        <w:t>龙飞路</w:t>
      </w:r>
      <w:r>
        <w:rPr>
          <w:sz w:val="24"/>
        </w:rPr>
        <w:t>、</w:t>
      </w:r>
      <w:r>
        <w:rPr>
          <w:rFonts w:hint="eastAsia"/>
          <w:sz w:val="24"/>
        </w:rPr>
        <w:t>凤集大道</w:t>
      </w:r>
      <w:r>
        <w:rPr>
          <w:sz w:val="24"/>
        </w:rPr>
        <w:t>，其中</w:t>
      </w:r>
      <w:r>
        <w:rPr>
          <w:rFonts w:hint="eastAsia"/>
          <w:sz w:val="24"/>
        </w:rPr>
        <w:t>龙藏大道、凤集大道</w:t>
      </w:r>
      <w:r>
        <w:rPr>
          <w:sz w:val="24"/>
        </w:rPr>
        <w:t>为主干路、</w:t>
      </w:r>
      <w:r>
        <w:rPr>
          <w:rFonts w:hint="eastAsia"/>
          <w:sz w:val="24"/>
        </w:rPr>
        <w:t>龙飞路</w:t>
      </w:r>
      <w:r>
        <w:rPr>
          <w:sz w:val="24"/>
        </w:rPr>
        <w:t>为</w:t>
      </w:r>
      <w:r>
        <w:rPr>
          <w:rFonts w:hint="eastAsia"/>
          <w:sz w:val="24"/>
        </w:rPr>
        <w:t>支</w:t>
      </w:r>
      <w:r>
        <w:rPr>
          <w:sz w:val="24"/>
        </w:rPr>
        <w:t>路。根据本项目</w:t>
      </w:r>
      <w:r>
        <w:rPr>
          <w:rFonts w:hint="eastAsia"/>
          <w:sz w:val="24"/>
        </w:rPr>
        <w:t>商品</w:t>
      </w:r>
      <w:r>
        <w:rPr>
          <w:sz w:val="24"/>
        </w:rPr>
        <w:t>约</w:t>
      </w:r>
      <w:r>
        <w:rPr>
          <w:rFonts w:hint="eastAsia"/>
          <w:sz w:val="24"/>
        </w:rPr>
        <w:t>95</w:t>
      </w:r>
      <w:r>
        <w:rPr>
          <w:sz w:val="24"/>
        </w:rPr>
        <w:t>万吨的预计配送量，若按平均每辆车年运行3</w:t>
      </w:r>
      <w:r>
        <w:rPr>
          <w:rFonts w:hint="eastAsia"/>
          <w:sz w:val="24"/>
        </w:rPr>
        <w:t>65</w:t>
      </w:r>
      <w:r>
        <w:rPr>
          <w:sz w:val="24"/>
        </w:rPr>
        <w:t>天，全天到达物流中心的货车需求量约为</w:t>
      </w:r>
      <w:r>
        <w:rPr>
          <w:rFonts w:hint="eastAsia"/>
          <w:sz w:val="24"/>
        </w:rPr>
        <w:t>1844</w:t>
      </w:r>
      <w:r>
        <w:rPr>
          <w:sz w:val="24"/>
        </w:rPr>
        <w:t>车次，每小时车流量约为</w:t>
      </w:r>
      <w:r>
        <w:rPr>
          <w:rFonts w:hint="eastAsia"/>
          <w:sz w:val="24"/>
        </w:rPr>
        <w:t>76辆</w:t>
      </w:r>
      <w:r>
        <w:rPr>
          <w:sz w:val="24"/>
        </w:rPr>
        <w:t>。</w:t>
      </w:r>
    </w:p>
    <w:p>
      <w:pPr>
        <w:pStyle w:val="4"/>
        <w:adjustRightInd w:val="0"/>
        <w:snapToGrid w:val="0"/>
        <w:spacing w:before="0" w:after="0" w:line="360" w:lineRule="auto"/>
        <w:rPr>
          <w:bCs w:val="0"/>
          <w:sz w:val="24"/>
          <w:szCs w:val="24"/>
        </w:rPr>
      </w:pPr>
      <w:bookmarkStart w:id="149" w:name="_Toc435690431"/>
      <w:r>
        <w:rPr>
          <w:rFonts w:hint="eastAsia"/>
          <w:bCs w:val="0"/>
          <w:sz w:val="24"/>
          <w:szCs w:val="24"/>
        </w:rPr>
        <w:t>3.6.2</w:t>
      </w:r>
      <w:r>
        <w:rPr>
          <w:bCs w:val="0"/>
          <w:sz w:val="24"/>
          <w:szCs w:val="24"/>
        </w:rPr>
        <w:t>运输环节环境影响分析</w:t>
      </w:r>
      <w:bookmarkEnd w:id="149"/>
    </w:p>
    <w:p>
      <w:pPr>
        <w:autoSpaceDE w:val="0"/>
        <w:autoSpaceDN w:val="0"/>
        <w:adjustRightInd w:val="0"/>
        <w:snapToGrid w:val="0"/>
        <w:spacing w:line="360" w:lineRule="auto"/>
        <w:ind w:firstLine="480" w:firstLineChars="200"/>
        <w:rPr>
          <w:sz w:val="24"/>
        </w:rPr>
      </w:pPr>
      <w:r>
        <w:rPr>
          <w:sz w:val="24"/>
        </w:rPr>
        <w:t>根据《公路工程技术标准》（JTJ001-1997），四车道一级公路应能适应将各种汽车折合成小客车的年平均日交通量15000～30000辆，城市主干路一般能适应每昼夜3000～7500辆中型载重汽车交通量，城市次干路一般能适应每昼夜1000～4000辆中型载重汽车交通量。本项目全天到达物流中心的货车需求量约为</w:t>
      </w:r>
      <w:r>
        <w:rPr>
          <w:rFonts w:hint="eastAsia"/>
          <w:sz w:val="24"/>
        </w:rPr>
        <w:t>1844</w:t>
      </w:r>
      <w:r>
        <w:rPr>
          <w:sz w:val="24"/>
        </w:rPr>
        <w:t>车次，每小时车流量约为</w:t>
      </w:r>
      <w:r>
        <w:rPr>
          <w:rFonts w:hint="eastAsia"/>
          <w:sz w:val="24"/>
        </w:rPr>
        <w:t>76</w:t>
      </w:r>
      <w:r>
        <w:rPr>
          <w:sz w:val="24"/>
        </w:rPr>
        <w:t>辆。因此，从总体来看，本项目开发后产生的交通增量较小，对地块周边道路特别是干道的交通影响程度较小。</w:t>
      </w:r>
    </w:p>
    <w:p>
      <w:pPr>
        <w:autoSpaceDE w:val="0"/>
        <w:autoSpaceDN w:val="0"/>
        <w:adjustRightInd w:val="0"/>
        <w:snapToGrid w:val="0"/>
        <w:spacing w:line="360" w:lineRule="auto"/>
        <w:ind w:firstLine="480" w:firstLineChars="200"/>
        <w:rPr>
          <w:rFonts w:hint="eastAsia"/>
          <w:sz w:val="24"/>
        </w:rPr>
      </w:pPr>
      <w:r>
        <w:rPr>
          <w:sz w:val="24"/>
        </w:rPr>
        <w:t>建设项目对周边道路沿线居民的影响主要表现在由于车流量加大，交通噪声可能对居民产生不良影响。</w:t>
      </w:r>
      <w:r>
        <w:rPr>
          <w:rFonts w:hint="eastAsia"/>
          <w:sz w:val="24"/>
        </w:rPr>
        <w:t>本项目</w:t>
      </w:r>
      <w:r>
        <w:rPr>
          <w:sz w:val="24"/>
        </w:rPr>
        <w:t>共建设仓储仓库</w:t>
      </w:r>
      <w:r>
        <w:rPr>
          <w:rFonts w:hint="eastAsia"/>
          <w:sz w:val="24"/>
        </w:rPr>
        <w:t>4座，仓库</w:t>
      </w:r>
      <w:r>
        <w:rPr>
          <w:sz w:val="24"/>
        </w:rPr>
        <w:t>分布在地块中部，靠近各个货车出入口。分拣中心位于地块中部偏东的位置</w:t>
      </w:r>
      <w:r>
        <w:rPr>
          <w:rFonts w:hint="eastAsia"/>
          <w:sz w:val="24"/>
        </w:rPr>
        <w:t>，</w:t>
      </w:r>
      <w:r>
        <w:rPr>
          <w:sz w:val="24"/>
        </w:rPr>
        <w:t>项目研发</w:t>
      </w:r>
      <w:r>
        <w:rPr>
          <w:rFonts w:hint="eastAsia"/>
          <w:sz w:val="24"/>
        </w:rPr>
        <w:t>办公楼</w:t>
      </w:r>
      <w:r>
        <w:rPr>
          <w:sz w:val="24"/>
        </w:rPr>
        <w:t>位于地块的</w:t>
      </w:r>
      <w:r>
        <w:rPr>
          <w:rFonts w:hint="eastAsia"/>
          <w:sz w:val="24"/>
        </w:rPr>
        <w:t>北部和</w:t>
      </w:r>
      <w:r>
        <w:rPr>
          <w:sz w:val="24"/>
        </w:rPr>
        <w:t>西南侧。</w:t>
      </w:r>
      <w:r>
        <w:rPr>
          <w:rFonts w:hint="eastAsia"/>
          <w:sz w:val="24"/>
        </w:rPr>
        <w:t xml:space="preserve">物流仓储区隔研发楼与南侧最近居住区正达公寓距离约278米，且中间隔有本项目研发楼，有一定的降噪作用。本项目主要货车出入口分布在项目北侧、西侧及东侧，远离居民区，通过合理布设汽车行驶路线，加强车辆管理，禁止鸣笛、限速；合理规划项目内的车流方向，保持车流畅通；物流仓库等建筑物隔声、距离衰减，严格控制货物搬运时间等措施，可有效减少对周边居民日常生活的影响。 </w:t>
      </w:r>
    </w:p>
    <w:p>
      <w:pPr>
        <w:autoSpaceDE w:val="0"/>
        <w:autoSpaceDN w:val="0"/>
        <w:adjustRightInd w:val="0"/>
        <w:snapToGrid w:val="0"/>
        <w:spacing w:line="360" w:lineRule="auto"/>
        <w:ind w:firstLine="480" w:firstLineChars="200"/>
        <w:rPr>
          <w:rFonts w:hint="eastAsia"/>
          <w:sz w:val="24"/>
        </w:rPr>
      </w:pPr>
      <w:r>
        <w:rPr>
          <w:sz w:val="24"/>
        </w:rPr>
        <w:t>另外，由于运输车辆的增加，造成路面行驶的机动车尾气排放量增多，由于机动车尾气污染物的控制是一个城市或区域内的系统工程，本项目的建设单位及管理单位要在行动和意识上执行国家及当地各级部门对机动车尾气污染物排放控制制定的各项政策措施，禁止尾气污染物超标排放机动车通行，大力推荐使用清洁燃料，加强机动车的检测与维修。</w:t>
      </w:r>
    </w:p>
    <w:p>
      <w:pPr>
        <w:spacing w:line="360" w:lineRule="auto"/>
        <w:rPr>
          <w:color w:val="FF0000"/>
          <w:sz w:val="24"/>
        </w:rPr>
        <w:sectPr>
          <w:pgSz w:w="11906" w:h="16838"/>
          <w:pgMar w:top="1440" w:right="1797" w:bottom="1440" w:left="1797" w:header="851" w:footer="992" w:gutter="0"/>
          <w:cols w:space="425" w:num="1"/>
          <w:docGrid w:type="lines" w:linePitch="312" w:charSpace="0"/>
        </w:sectPr>
      </w:pPr>
    </w:p>
    <w:bookmarkEnd w:id="73"/>
    <w:bookmarkEnd w:id="74"/>
    <w:p>
      <w:pPr>
        <w:pStyle w:val="2"/>
        <w:spacing w:before="0" w:after="0" w:line="360" w:lineRule="auto"/>
        <w:rPr>
          <w:rFonts w:hint="eastAsia" w:eastAsia="宋体"/>
          <w:b/>
          <w:color w:val="auto"/>
          <w:sz w:val="32"/>
          <w:szCs w:val="32"/>
        </w:rPr>
      </w:pPr>
      <w:bookmarkStart w:id="150" w:name="_Toc150241951"/>
      <w:bookmarkStart w:id="151" w:name="_Toc152648907"/>
      <w:bookmarkStart w:id="152" w:name="_Toc174240628"/>
      <w:bookmarkStart w:id="153" w:name="_Toc435690432"/>
      <w:r>
        <w:rPr>
          <w:rFonts w:eastAsia="宋体"/>
          <w:b/>
          <w:color w:val="auto"/>
          <w:sz w:val="32"/>
          <w:szCs w:val="32"/>
        </w:rPr>
        <w:t>4结论</w:t>
      </w:r>
      <w:bookmarkEnd w:id="150"/>
      <w:bookmarkEnd w:id="151"/>
      <w:bookmarkEnd w:id="152"/>
      <w:bookmarkEnd w:id="153"/>
    </w:p>
    <w:p>
      <w:pPr>
        <w:adjustRightInd w:val="0"/>
        <w:snapToGrid w:val="0"/>
        <w:spacing w:line="360" w:lineRule="auto"/>
        <w:ind w:firstLine="480" w:firstLineChars="200"/>
        <w:rPr>
          <w:rFonts w:hint="eastAsia"/>
          <w:kern w:val="0"/>
          <w:sz w:val="24"/>
        </w:rPr>
      </w:pPr>
      <w:r>
        <w:rPr>
          <w:kern w:val="0"/>
          <w:sz w:val="24"/>
        </w:rPr>
        <w:t>南京鼎邦网络科技有限公司是苏宁</w:t>
      </w:r>
      <w:r>
        <w:rPr>
          <w:rFonts w:hint="eastAsia"/>
          <w:kern w:val="0"/>
          <w:sz w:val="24"/>
        </w:rPr>
        <w:t>控股集团</w:t>
      </w:r>
      <w:r>
        <w:rPr>
          <w:kern w:val="0"/>
          <w:sz w:val="24"/>
        </w:rPr>
        <w:t>为建设雨花物流工业园，同时为积极响应雨花区政府、雨花经济开发区管委会的号召而设立的分公司。为了满足苏宁易购的快速发展，南京鼎邦网络科技有限公司投资</w:t>
      </w:r>
      <w:r>
        <w:rPr>
          <w:sz w:val="24"/>
        </w:rPr>
        <w:t>94281.9万元建设雨花物流自动化二期项目。本项目总用地面积396449m</w:t>
      </w:r>
      <w:r>
        <w:rPr>
          <w:sz w:val="24"/>
          <w:vertAlign w:val="superscript"/>
        </w:rPr>
        <w:t>2</w:t>
      </w:r>
      <w:r>
        <w:rPr>
          <w:sz w:val="24"/>
        </w:rPr>
        <w:t>，总建筑面积516562.44 m</w:t>
      </w:r>
      <w:r>
        <w:rPr>
          <w:sz w:val="24"/>
          <w:vertAlign w:val="superscript"/>
        </w:rPr>
        <w:t>2</w:t>
      </w:r>
      <w:r>
        <w:rPr>
          <w:sz w:val="24"/>
        </w:rPr>
        <w:t>，主要构筑物主体以物流仓库、</w:t>
      </w:r>
      <w:r>
        <w:rPr>
          <w:rFonts w:hint="eastAsia"/>
          <w:sz w:val="24"/>
        </w:rPr>
        <w:t>研发办公、</w:t>
      </w:r>
      <w:r>
        <w:rPr>
          <w:sz w:val="24"/>
        </w:rPr>
        <w:t>分拣中心及配套</w:t>
      </w:r>
      <w:r>
        <w:rPr>
          <w:rFonts w:hint="eastAsia"/>
          <w:sz w:val="24"/>
        </w:rPr>
        <w:t>研发办公楼</w:t>
      </w:r>
      <w:r>
        <w:rPr>
          <w:sz w:val="24"/>
        </w:rPr>
        <w:t>等，以支持华东地区为主，商品将涉及家用电器和日用百货两大类型，其中百货类商品销售额占比将达到64.5%，存储</w:t>
      </w:r>
      <w:r>
        <w:rPr>
          <w:rFonts w:hint="eastAsia"/>
          <w:sz w:val="24"/>
        </w:rPr>
        <w:t>商品</w:t>
      </w:r>
      <w:r>
        <w:rPr>
          <w:sz w:val="24"/>
        </w:rPr>
        <w:t>涉及服装鞋帽、婴儿用品、食品、化妆品、汽车用品、珠宝、书籍、乐器等16个类别</w:t>
      </w:r>
      <w:r>
        <w:rPr>
          <w:rFonts w:hint="eastAsia"/>
          <w:sz w:val="24"/>
        </w:rPr>
        <w:t>，</w:t>
      </w:r>
      <w:r>
        <w:rPr>
          <w:sz w:val="24"/>
        </w:rPr>
        <w:t>预计年物流仓储量为1578万吨，配送量为95万吨。</w:t>
      </w:r>
    </w:p>
    <w:p>
      <w:pPr>
        <w:adjustRightInd w:val="0"/>
        <w:snapToGrid w:val="0"/>
        <w:spacing w:line="360" w:lineRule="auto"/>
        <w:ind w:firstLine="480" w:firstLineChars="200"/>
        <w:rPr>
          <w:rFonts w:hint="eastAsia"/>
          <w:sz w:val="24"/>
        </w:rPr>
      </w:pPr>
      <w:r>
        <w:rPr>
          <w:sz w:val="24"/>
        </w:rPr>
        <w:t>本项目建设地址为南京市雨花台区雨花经济开发区，龙藏大道以南、二号路以北、苏宁物流</w:t>
      </w:r>
      <w:r>
        <w:rPr>
          <w:rFonts w:hint="eastAsia"/>
          <w:sz w:val="24"/>
        </w:rPr>
        <w:t>中心</w:t>
      </w:r>
      <w:r>
        <w:rPr>
          <w:sz w:val="24"/>
        </w:rPr>
        <w:t>项目以西，项目占地面积为396449 m</w:t>
      </w:r>
      <w:r>
        <w:rPr>
          <w:sz w:val="24"/>
          <w:vertAlign w:val="superscript"/>
        </w:rPr>
        <w:t>2</w:t>
      </w:r>
      <w:r>
        <w:rPr>
          <w:sz w:val="24"/>
        </w:rPr>
        <w:t>，总建筑面积516562.44 m</w:t>
      </w:r>
      <w:r>
        <w:rPr>
          <w:sz w:val="24"/>
          <w:vertAlign w:val="superscript"/>
        </w:rPr>
        <w:t>2</w:t>
      </w:r>
      <w:r>
        <w:rPr>
          <w:sz w:val="24"/>
        </w:rPr>
        <w:t>，</w:t>
      </w:r>
      <w:r>
        <w:rPr>
          <w:rFonts w:hint="eastAsia"/>
          <w:sz w:val="24"/>
        </w:rPr>
        <w:t>其中</w:t>
      </w:r>
      <w:r>
        <w:rPr>
          <w:sz w:val="24"/>
        </w:rPr>
        <w:t>仓储</w:t>
      </w:r>
      <w:r>
        <w:rPr>
          <w:rFonts w:hint="eastAsia"/>
          <w:sz w:val="24"/>
        </w:rPr>
        <w:t>物流</w:t>
      </w:r>
      <w:r>
        <w:rPr>
          <w:sz w:val="24"/>
        </w:rPr>
        <w:t>区：</w:t>
      </w:r>
      <w:r>
        <w:rPr>
          <w:rFonts w:hint="eastAsia"/>
          <w:sz w:val="24"/>
        </w:rPr>
        <w:t>建筑面积约193842.09m</w:t>
      </w:r>
      <w:r>
        <w:rPr>
          <w:rFonts w:hint="eastAsia"/>
          <w:sz w:val="24"/>
          <w:vertAlign w:val="superscript"/>
        </w:rPr>
        <w:t>2</w:t>
      </w:r>
      <w:r>
        <w:rPr>
          <w:rFonts w:hint="eastAsia"/>
          <w:sz w:val="24"/>
        </w:rPr>
        <w:t>，包括1~4#共4座仓储仓库及一座分拣中心</w:t>
      </w:r>
      <w:r>
        <w:rPr>
          <w:sz w:val="24"/>
        </w:rPr>
        <w:t>；</w:t>
      </w:r>
      <w:r>
        <w:rPr>
          <w:rFonts w:hint="eastAsia"/>
          <w:sz w:val="24"/>
        </w:rPr>
        <w:t>研发办公</w:t>
      </w:r>
      <w:r>
        <w:rPr>
          <w:sz w:val="24"/>
        </w:rPr>
        <w:t>区：</w:t>
      </w:r>
      <w:r>
        <w:rPr>
          <w:rFonts w:hint="eastAsia"/>
          <w:sz w:val="24"/>
        </w:rPr>
        <w:t>建筑面积约322720.35m</w:t>
      </w:r>
      <w:r>
        <w:rPr>
          <w:rFonts w:hint="eastAsia"/>
          <w:sz w:val="24"/>
          <w:vertAlign w:val="superscript"/>
        </w:rPr>
        <w:t>2</w:t>
      </w:r>
      <w:r>
        <w:rPr>
          <w:rFonts w:hint="eastAsia"/>
          <w:sz w:val="24"/>
        </w:rPr>
        <w:t>，研发楼主要功能为物流配送研发办公用房，包括物流软件研发、网站维护、数据中心及资料库，无工业生产，不建设食堂</w:t>
      </w:r>
      <w:r>
        <w:rPr>
          <w:sz w:val="24"/>
        </w:rPr>
        <w:t>。</w:t>
      </w:r>
    </w:p>
    <w:p>
      <w:pPr>
        <w:pStyle w:val="3"/>
        <w:spacing w:before="0" w:after="0"/>
        <w:rPr>
          <w:rFonts w:ascii="Times New Roman" w:hAnsi="Times New Roman" w:eastAsia="宋体"/>
          <w:b/>
          <w:sz w:val="28"/>
          <w:szCs w:val="28"/>
        </w:rPr>
      </w:pPr>
      <w:bookmarkStart w:id="154" w:name="_Toc435690433"/>
      <w:r>
        <w:rPr>
          <w:rFonts w:ascii="Times New Roman" w:hAnsi="Times New Roman" w:eastAsia="宋体"/>
          <w:b/>
          <w:sz w:val="28"/>
          <w:szCs w:val="28"/>
        </w:rPr>
        <w:t>4.1产业政策符合性</w:t>
      </w:r>
      <w:bookmarkEnd w:id="154"/>
    </w:p>
    <w:p>
      <w:pPr>
        <w:adjustRightInd w:val="0"/>
        <w:snapToGrid w:val="0"/>
        <w:spacing w:line="360" w:lineRule="auto"/>
        <w:ind w:firstLine="480" w:firstLineChars="200"/>
        <w:rPr>
          <w:sz w:val="24"/>
        </w:rPr>
      </w:pPr>
      <w:r>
        <w:rPr>
          <w:sz w:val="24"/>
        </w:rPr>
        <w:t>本项目属于</w:t>
      </w:r>
      <w:r>
        <w:rPr>
          <w:rFonts w:hint="eastAsia"/>
          <w:sz w:val="24"/>
        </w:rPr>
        <w:t>仓储物流</w:t>
      </w:r>
      <w:r>
        <w:rPr>
          <w:sz w:val="24"/>
        </w:rPr>
        <w:t>建设项目，对照国家发改委颁布的《产业结构调整指导目录（2011年本）（</w:t>
      </w:r>
      <w:r>
        <w:rPr>
          <w:rFonts w:hint="eastAsia"/>
          <w:sz w:val="24"/>
        </w:rPr>
        <w:t>2013年</w:t>
      </w:r>
      <w:r>
        <w:rPr>
          <w:sz w:val="24"/>
        </w:rPr>
        <w:t>修正）》及《江苏省工业和信息产业结构调整指导目录（2012年本）》，本项目不属于目录中的限制类和淘汰类之列，属于允许类项目。因此，本项目建设符合国家和地方的产业政策。</w:t>
      </w:r>
    </w:p>
    <w:p>
      <w:pPr>
        <w:pStyle w:val="3"/>
        <w:spacing w:before="0" w:after="0"/>
        <w:rPr>
          <w:rFonts w:ascii="Times New Roman" w:hAnsi="Times New Roman" w:eastAsia="宋体"/>
          <w:b/>
          <w:sz w:val="28"/>
          <w:szCs w:val="28"/>
        </w:rPr>
      </w:pPr>
      <w:bookmarkStart w:id="155" w:name="_Toc435690434"/>
      <w:r>
        <w:rPr>
          <w:rFonts w:ascii="Times New Roman" w:hAnsi="Times New Roman" w:eastAsia="宋体"/>
          <w:b/>
          <w:sz w:val="28"/>
          <w:szCs w:val="28"/>
        </w:rPr>
        <w:t>4.2与当地总体发展规划的相容性</w:t>
      </w:r>
      <w:bookmarkEnd w:id="155"/>
    </w:p>
    <w:p>
      <w:pPr>
        <w:adjustRightInd w:val="0"/>
        <w:snapToGrid w:val="0"/>
        <w:spacing w:line="360" w:lineRule="auto"/>
        <w:ind w:firstLine="480" w:firstLineChars="200"/>
        <w:rPr>
          <w:sz w:val="24"/>
        </w:rPr>
      </w:pPr>
      <w:r>
        <w:rPr>
          <w:sz w:val="24"/>
        </w:rPr>
        <w:t>根据《中国（南京）软件谷西片区控制性详细规划》，本项目位于南京市雨花台区雨花经济开发区，龙藏大道以南、二号路以北、苏宁物流一期项目以西，属于中国（南京）软件谷西片区土地利用规划中的</w:t>
      </w:r>
      <w:r>
        <w:rPr>
          <w:rFonts w:hint="eastAsia"/>
          <w:sz w:val="24"/>
        </w:rPr>
        <w:t>工业</w:t>
      </w:r>
      <w:r>
        <w:rPr>
          <w:sz w:val="24"/>
        </w:rPr>
        <w:t>用地。项目建设符合用地规划要求。</w:t>
      </w:r>
    </w:p>
    <w:p>
      <w:pPr>
        <w:adjustRightInd w:val="0"/>
        <w:snapToGrid w:val="0"/>
        <w:spacing w:line="360" w:lineRule="auto"/>
        <w:ind w:firstLine="480" w:firstLineChars="200"/>
        <w:rPr>
          <w:sz w:val="24"/>
        </w:rPr>
      </w:pPr>
      <w:r>
        <w:rPr>
          <w:sz w:val="24"/>
        </w:rPr>
        <w:t>根据《江苏省生态红线区域保护规划》</w:t>
      </w:r>
      <w:r>
        <w:rPr>
          <w:rFonts w:hint="eastAsia"/>
          <w:sz w:val="24"/>
        </w:rPr>
        <w:t>及《南京市生态红线区域保护规划》</w:t>
      </w:r>
      <w:r>
        <w:rPr>
          <w:sz w:val="24"/>
        </w:rPr>
        <w:t>，本项目不在《江苏省生态红线区域保护规划》</w:t>
      </w:r>
      <w:r>
        <w:rPr>
          <w:rFonts w:hint="eastAsia"/>
          <w:sz w:val="24"/>
        </w:rPr>
        <w:t>及《南京市生态红线区域保护规划》</w:t>
      </w:r>
      <w:r>
        <w:rPr>
          <w:sz w:val="24"/>
        </w:rPr>
        <w:t>中规定的一、二级管控区范围内。因此，本项目建设符合《江苏省生态红线区域保护规划》</w:t>
      </w:r>
      <w:r>
        <w:rPr>
          <w:rFonts w:hint="eastAsia"/>
          <w:sz w:val="24"/>
        </w:rPr>
        <w:t>及《南京市生态红线区域保护规划》的要求</w:t>
      </w:r>
      <w:r>
        <w:rPr>
          <w:sz w:val="24"/>
        </w:rPr>
        <w:t>。</w:t>
      </w:r>
    </w:p>
    <w:p>
      <w:pPr>
        <w:snapToGrid w:val="0"/>
        <w:spacing w:line="360" w:lineRule="auto"/>
        <w:ind w:firstLine="480" w:firstLineChars="200"/>
        <w:rPr>
          <w:sz w:val="24"/>
        </w:rPr>
      </w:pPr>
      <w:r>
        <w:rPr>
          <w:sz w:val="24"/>
        </w:rPr>
        <w:t>综上，建设项目符合国家产业政策，选址符合相关城市建设发展规划。</w:t>
      </w:r>
    </w:p>
    <w:p>
      <w:pPr>
        <w:pStyle w:val="3"/>
        <w:spacing w:before="0" w:after="0"/>
        <w:rPr>
          <w:rFonts w:ascii="Times New Roman" w:hAnsi="Times New Roman" w:eastAsia="宋体"/>
          <w:b/>
          <w:sz w:val="28"/>
          <w:szCs w:val="28"/>
        </w:rPr>
      </w:pPr>
      <w:bookmarkStart w:id="156" w:name="_Toc435690435"/>
      <w:r>
        <w:rPr>
          <w:rFonts w:ascii="Times New Roman" w:hAnsi="Times New Roman" w:eastAsia="宋体"/>
          <w:b/>
          <w:sz w:val="28"/>
          <w:szCs w:val="28"/>
        </w:rPr>
        <w:t>4.3清洁生产分析</w:t>
      </w:r>
      <w:bookmarkEnd w:id="156"/>
    </w:p>
    <w:p>
      <w:pPr>
        <w:adjustRightInd w:val="0"/>
        <w:snapToGrid w:val="0"/>
        <w:spacing w:line="360" w:lineRule="auto"/>
        <w:ind w:firstLine="480" w:firstLineChars="200"/>
        <w:rPr>
          <w:sz w:val="24"/>
        </w:rPr>
      </w:pPr>
      <w:r>
        <w:rPr>
          <w:sz w:val="24"/>
        </w:rPr>
        <w:t>本项目严格按国家相关规范的要求，从设计、建筑结构和材料等方面尽量选用先进、节能、环保设备，采取了一系列节水措施，实行资源综合利用，提高了能源利用效率。同时，本项目贯彻了循环经济的理念，基本符合循环经济的“减量化、再利用、资源化”三项原则。</w:t>
      </w:r>
    </w:p>
    <w:p>
      <w:pPr>
        <w:pStyle w:val="3"/>
        <w:spacing w:before="0" w:after="0"/>
        <w:rPr>
          <w:rFonts w:ascii="Times New Roman" w:hAnsi="Times New Roman" w:eastAsia="宋体"/>
          <w:b/>
          <w:sz w:val="28"/>
          <w:szCs w:val="28"/>
        </w:rPr>
      </w:pPr>
      <w:bookmarkStart w:id="157" w:name="_Toc435690436"/>
      <w:r>
        <w:rPr>
          <w:rFonts w:ascii="Times New Roman" w:hAnsi="Times New Roman" w:eastAsia="宋体"/>
          <w:b/>
          <w:sz w:val="28"/>
          <w:szCs w:val="28"/>
        </w:rPr>
        <w:t>4.4环境质量现状</w:t>
      </w:r>
      <w:bookmarkEnd w:id="157"/>
    </w:p>
    <w:p>
      <w:pPr>
        <w:adjustRightInd w:val="0"/>
        <w:snapToGrid w:val="0"/>
        <w:spacing w:line="360" w:lineRule="auto"/>
        <w:ind w:firstLine="475" w:firstLineChars="198"/>
        <w:rPr>
          <w:sz w:val="24"/>
        </w:rPr>
      </w:pPr>
      <w:r>
        <w:rPr>
          <w:sz w:val="24"/>
        </w:rPr>
        <w:t>大气环境：项目所在区域各项监测因子指标能达到《环境空气质量标准》（GB3095-2012）表中的二类区标准。区域环境空气质量良好。</w:t>
      </w:r>
    </w:p>
    <w:p>
      <w:pPr>
        <w:adjustRightInd w:val="0"/>
        <w:snapToGrid w:val="0"/>
        <w:spacing w:line="360" w:lineRule="auto"/>
        <w:ind w:firstLine="475" w:firstLineChars="198"/>
        <w:rPr>
          <w:sz w:val="24"/>
        </w:rPr>
      </w:pPr>
      <w:r>
        <w:rPr>
          <w:sz w:val="24"/>
        </w:rPr>
        <w:t>水环境：</w:t>
      </w:r>
      <w:r>
        <w:rPr>
          <w:sz w:val="24"/>
          <w:lang w:val="zh-CN"/>
        </w:rPr>
        <w:t>根据《2013年南京市环境状况公报》，长江南京段水质稳定，除总磷超标0.15倍以外其它主要污染指标高锰酸盐指数、生化需氧量、氨氮和石油类各项指标均达到规划功能</w:t>
      </w:r>
      <w:r>
        <w:rPr>
          <w:rFonts w:hint="eastAsia" w:ascii="宋体" w:hAnsi="宋体" w:cs="宋体"/>
          <w:sz w:val="24"/>
          <w:lang w:val="zh-CN"/>
        </w:rPr>
        <w:t>Ⅱ</w:t>
      </w:r>
      <w:r>
        <w:rPr>
          <w:sz w:val="24"/>
          <w:lang w:val="zh-CN"/>
        </w:rPr>
        <w:t>类水质标准</w:t>
      </w:r>
      <w:r>
        <w:rPr>
          <w:sz w:val="24"/>
        </w:rPr>
        <w:t>；除D2点位的硝酸盐指标外，三个监测点位的其他各污染因子的监测值均优于《地下水环境质量标准》中的III类标准，项目所在地地下水环境质量总体良好。</w:t>
      </w:r>
    </w:p>
    <w:p>
      <w:pPr>
        <w:adjustRightInd w:val="0"/>
        <w:snapToGrid w:val="0"/>
        <w:spacing w:line="360" w:lineRule="auto"/>
        <w:ind w:firstLine="475" w:firstLineChars="198"/>
        <w:rPr>
          <w:rFonts w:hint="eastAsia"/>
          <w:sz w:val="24"/>
        </w:rPr>
      </w:pPr>
      <w:r>
        <w:rPr>
          <w:sz w:val="24"/>
        </w:rPr>
        <w:t>声环境：项目各噪声监测点昼夜间噪声均能达到《声环境质量标准》（GB3096-2008）中的</w:t>
      </w:r>
      <w:r>
        <w:rPr>
          <w:rFonts w:hint="eastAsia"/>
          <w:sz w:val="24"/>
        </w:rPr>
        <w:t>3</w:t>
      </w:r>
      <w:r>
        <w:rPr>
          <w:sz w:val="24"/>
        </w:rPr>
        <w:t>类、4a类标准。</w:t>
      </w:r>
    </w:p>
    <w:p>
      <w:pPr>
        <w:adjustRightInd w:val="0"/>
        <w:snapToGrid w:val="0"/>
        <w:spacing w:line="360" w:lineRule="auto"/>
        <w:ind w:firstLine="475" w:firstLineChars="198"/>
        <w:rPr>
          <w:sz w:val="24"/>
        </w:rPr>
      </w:pPr>
      <w:r>
        <w:rPr>
          <w:rFonts w:hint="eastAsia"/>
          <w:sz w:val="24"/>
        </w:rPr>
        <w:t>土壤：</w:t>
      </w:r>
      <w:r>
        <w:rPr>
          <w:sz w:val="24"/>
        </w:rPr>
        <w:t>项目所在地的土壤环境质量监测数据能够达到《土壤环境质量标准》（GB15618-1995）中的二级标准，项目所在地土壤环境质量较好。</w:t>
      </w:r>
    </w:p>
    <w:p>
      <w:pPr>
        <w:pStyle w:val="3"/>
        <w:spacing w:before="0" w:after="0"/>
        <w:rPr>
          <w:rFonts w:ascii="Times New Roman" w:hAnsi="Times New Roman" w:eastAsia="宋体"/>
          <w:b/>
          <w:sz w:val="28"/>
          <w:szCs w:val="28"/>
        </w:rPr>
      </w:pPr>
      <w:bookmarkStart w:id="158" w:name="_Toc435690437"/>
      <w:r>
        <w:rPr>
          <w:rFonts w:ascii="Times New Roman" w:hAnsi="Times New Roman" w:eastAsia="宋体"/>
          <w:b/>
          <w:sz w:val="28"/>
          <w:szCs w:val="28"/>
        </w:rPr>
        <w:t>4.5污染防治措施与环境影响分析</w:t>
      </w:r>
      <w:bookmarkEnd w:id="158"/>
    </w:p>
    <w:p>
      <w:pPr>
        <w:adjustRightInd w:val="0"/>
        <w:snapToGrid w:val="0"/>
        <w:spacing w:line="360" w:lineRule="auto"/>
        <w:ind w:firstLine="480" w:firstLineChars="200"/>
        <w:rPr>
          <w:sz w:val="24"/>
        </w:rPr>
      </w:pPr>
      <w:r>
        <w:rPr>
          <w:sz w:val="24"/>
        </w:rPr>
        <w:t>1、地表水环境</w:t>
      </w:r>
    </w:p>
    <w:p>
      <w:pPr>
        <w:adjustRightInd w:val="0"/>
        <w:snapToGrid w:val="0"/>
        <w:spacing w:line="360" w:lineRule="auto"/>
        <w:ind w:firstLine="480" w:firstLineChars="200"/>
        <w:rPr>
          <w:sz w:val="24"/>
        </w:rPr>
      </w:pPr>
      <w:r>
        <w:rPr>
          <w:sz w:val="24"/>
        </w:rPr>
        <w:t>本项目采用雨污分流制排水。本项目废水主要为生活污水，水质简单易降解，</w:t>
      </w:r>
      <w:r>
        <w:rPr>
          <w:rFonts w:hint="eastAsia"/>
          <w:sz w:val="24"/>
        </w:rPr>
        <w:t>生活污水</w:t>
      </w:r>
      <w:r>
        <w:rPr>
          <w:sz w:val="24"/>
        </w:rPr>
        <w:t>经化粪池预处理后达到污水处理厂接管标准再接入市政污水管网，本项目废水接管城南污水处理厂处理，污水处理厂尾水达《城镇污水处理厂污染物排放标准》（GB 18918-2002）表1中一级A标准后排入长江。</w:t>
      </w:r>
    </w:p>
    <w:p>
      <w:pPr>
        <w:adjustRightInd w:val="0"/>
        <w:snapToGrid w:val="0"/>
        <w:spacing w:line="360" w:lineRule="auto"/>
        <w:ind w:firstLine="480" w:firstLineChars="200"/>
        <w:rPr>
          <w:sz w:val="24"/>
        </w:rPr>
      </w:pPr>
      <w:r>
        <w:rPr>
          <w:sz w:val="24"/>
        </w:rPr>
        <w:t>城南污水处理厂有充足的余量接纳本项目废水，且本项目废水为生活废水，水质简单，不会影响污水处理厂处理工艺，故建设项目对周围地表水环境影响较小。</w:t>
      </w:r>
    </w:p>
    <w:p>
      <w:pPr>
        <w:adjustRightInd w:val="0"/>
        <w:snapToGrid w:val="0"/>
        <w:spacing w:line="360" w:lineRule="auto"/>
        <w:ind w:firstLine="480" w:firstLineChars="200"/>
        <w:rPr>
          <w:sz w:val="24"/>
        </w:rPr>
      </w:pPr>
      <w:r>
        <w:rPr>
          <w:sz w:val="24"/>
        </w:rPr>
        <w:t>2、废气</w:t>
      </w:r>
    </w:p>
    <w:p>
      <w:pPr>
        <w:adjustRightInd w:val="0"/>
        <w:snapToGrid w:val="0"/>
        <w:spacing w:line="360" w:lineRule="auto"/>
        <w:ind w:firstLine="480" w:firstLineChars="200"/>
        <w:rPr>
          <w:sz w:val="24"/>
        </w:rPr>
      </w:pPr>
      <w:r>
        <w:rPr>
          <w:sz w:val="24"/>
        </w:rPr>
        <w:t>本项目不设食堂，项目仓储货物为家用电器和家服装鞋帽、婴儿用品、食品、化妆品、汽车用品、珠宝、书籍、乐器</w:t>
      </w:r>
      <w:r>
        <w:rPr>
          <w:rFonts w:hint="eastAsia"/>
          <w:sz w:val="24"/>
        </w:rPr>
        <w:t>等</w:t>
      </w:r>
      <w:r>
        <w:rPr>
          <w:sz w:val="24"/>
        </w:rPr>
        <w:t>日用百货，外包装为纸箱，不易起尘，采取加强绿化和通风措施后，仓库机械通风污风对环境空气影响小。</w:t>
      </w:r>
      <w:r>
        <w:rPr>
          <w:rFonts w:hint="eastAsia"/>
          <w:sz w:val="24"/>
        </w:rPr>
        <w:t>项目研发办公区，主要功能为物流配送研发办公用房，包括物流软件研发，网站维护、数据中心及资料库，无工业生产。</w:t>
      </w:r>
      <w:r>
        <w:rPr>
          <w:sz w:val="24"/>
        </w:rPr>
        <w:t>废气主要来源于</w:t>
      </w:r>
      <w:r>
        <w:rPr>
          <w:rFonts w:hint="eastAsia"/>
          <w:sz w:val="24"/>
        </w:rPr>
        <w:t>物流</w:t>
      </w:r>
      <w:r>
        <w:rPr>
          <w:sz w:val="24"/>
        </w:rPr>
        <w:t>运输车辆汽车尾气。本项目地面停车场车位</w:t>
      </w:r>
      <w:r>
        <w:rPr>
          <w:rFonts w:hint="eastAsia"/>
          <w:sz w:val="24"/>
        </w:rPr>
        <w:t>527</w:t>
      </w:r>
      <w:r>
        <w:rPr>
          <w:sz w:val="24"/>
        </w:rPr>
        <w:t>个，分散布置于场地内，由于项目场地大气扩散条件好，绿化率高，对汽车尾气有很好的吸收作用，不会对环境空气形成明显污染。</w:t>
      </w:r>
    </w:p>
    <w:p>
      <w:pPr>
        <w:adjustRightInd w:val="0"/>
        <w:snapToGrid w:val="0"/>
        <w:spacing w:line="360" w:lineRule="auto"/>
        <w:ind w:firstLine="480" w:firstLineChars="200"/>
        <w:rPr>
          <w:rFonts w:hint="eastAsia"/>
          <w:sz w:val="24"/>
        </w:rPr>
      </w:pPr>
      <w:r>
        <w:rPr>
          <w:sz w:val="24"/>
        </w:rPr>
        <w:t>综上，本项目废气污染物经妥善处理后，对所在地周围大气环境无显著影响。</w:t>
      </w:r>
    </w:p>
    <w:p>
      <w:pPr>
        <w:adjustRightInd w:val="0"/>
        <w:snapToGrid w:val="0"/>
        <w:spacing w:line="360" w:lineRule="auto"/>
        <w:ind w:firstLine="480" w:firstLineChars="200"/>
        <w:rPr>
          <w:sz w:val="24"/>
        </w:rPr>
      </w:pPr>
      <w:r>
        <w:rPr>
          <w:sz w:val="24"/>
        </w:rPr>
        <w:t>3、噪声</w:t>
      </w:r>
    </w:p>
    <w:p>
      <w:pPr>
        <w:adjustRightInd w:val="0"/>
        <w:snapToGrid w:val="0"/>
        <w:spacing w:line="360" w:lineRule="auto"/>
        <w:ind w:firstLine="480" w:firstLineChars="200"/>
        <w:rPr>
          <w:rFonts w:hint="eastAsia"/>
          <w:sz w:val="24"/>
        </w:rPr>
      </w:pPr>
      <w:r>
        <w:rPr>
          <w:rFonts w:hint="eastAsia"/>
          <w:sz w:val="24"/>
        </w:rPr>
        <w:t>营运期噪声主要为运货车辆的交通噪声、物流仓库内人员活动社会噪声及装卸作业噪声、设备噪声。</w:t>
      </w:r>
    </w:p>
    <w:p>
      <w:pPr>
        <w:adjustRightInd w:val="0"/>
        <w:snapToGrid w:val="0"/>
        <w:spacing w:line="360" w:lineRule="auto"/>
        <w:ind w:firstLine="480" w:firstLineChars="200"/>
        <w:rPr>
          <w:rFonts w:hint="eastAsia"/>
          <w:sz w:val="24"/>
        </w:rPr>
      </w:pPr>
      <w:r>
        <w:rPr>
          <w:sz w:val="24"/>
        </w:rPr>
        <w:t>项目采用低噪声设备、建筑隔声、减振、消音及距离衰减等措施后，噪声可达标排放。为了进一步降低对</w:t>
      </w:r>
      <w:r>
        <w:rPr>
          <w:rFonts w:hint="eastAsia"/>
          <w:sz w:val="24"/>
        </w:rPr>
        <w:t>周边居民</w:t>
      </w:r>
      <w:r>
        <w:rPr>
          <w:sz w:val="24"/>
        </w:rPr>
        <w:t>的影响，</w:t>
      </w:r>
      <w:r>
        <w:rPr>
          <w:rFonts w:hint="eastAsia"/>
          <w:sz w:val="24"/>
        </w:rPr>
        <w:t>项目建成后建设单位通过采取物流中心内部禁止鸣笛、限速，合理规划项目内的车流方向，保持车流畅通，同时通过建筑物隔声、距离衰减可使交通噪声得到有效的控制，避免出现高噪声对周围环境的影响。</w:t>
      </w:r>
    </w:p>
    <w:p>
      <w:pPr>
        <w:adjustRightInd w:val="0"/>
        <w:snapToGrid w:val="0"/>
        <w:spacing w:line="360" w:lineRule="auto"/>
        <w:ind w:firstLine="480" w:firstLineChars="200"/>
        <w:rPr>
          <w:sz w:val="24"/>
        </w:rPr>
      </w:pPr>
      <w:r>
        <w:rPr>
          <w:sz w:val="24"/>
        </w:rPr>
        <w:t>4、固废</w:t>
      </w:r>
    </w:p>
    <w:p>
      <w:pPr>
        <w:adjustRightInd w:val="0"/>
        <w:snapToGrid w:val="0"/>
        <w:spacing w:line="360" w:lineRule="auto"/>
        <w:ind w:firstLine="480" w:firstLineChars="200"/>
        <w:rPr>
          <w:sz w:val="24"/>
        </w:rPr>
      </w:pPr>
      <w:r>
        <w:rPr>
          <w:rFonts w:hint="eastAsia"/>
          <w:sz w:val="24"/>
        </w:rPr>
        <w:t>生活</w:t>
      </w:r>
      <w:r>
        <w:rPr>
          <w:sz w:val="24"/>
        </w:rPr>
        <w:t>垃圾应日产日清，每日定时由当地环卫部门清运至垃圾填埋场进行卫生填埋；</w:t>
      </w:r>
      <w:r>
        <w:rPr>
          <w:rFonts w:hint="eastAsia"/>
          <w:sz w:val="24"/>
        </w:rPr>
        <w:t>废包装物及办公垃圾，收集后外售处理；废机油委托有资质单位处理</w:t>
      </w:r>
      <w:r>
        <w:rPr>
          <w:sz w:val="24"/>
        </w:rPr>
        <w:t>。</w:t>
      </w:r>
    </w:p>
    <w:p>
      <w:pPr>
        <w:adjustRightInd w:val="0"/>
        <w:snapToGrid w:val="0"/>
        <w:spacing w:line="360" w:lineRule="auto"/>
        <w:ind w:firstLine="480" w:firstLineChars="200"/>
        <w:rPr>
          <w:rFonts w:hint="eastAsia"/>
          <w:sz w:val="24"/>
        </w:rPr>
      </w:pPr>
      <w:r>
        <w:rPr>
          <w:sz w:val="24"/>
        </w:rPr>
        <w:t>综上，项目运营期固体废弃物处理处置措施是可行的。只要收集清运及时，管理措施得当，运营期的固体废物不会对周围环境产生不利影响。</w:t>
      </w:r>
    </w:p>
    <w:p>
      <w:pPr>
        <w:adjustRightInd w:val="0"/>
        <w:snapToGrid w:val="0"/>
        <w:spacing w:line="360" w:lineRule="auto"/>
        <w:ind w:firstLine="480" w:firstLineChars="200"/>
        <w:rPr>
          <w:sz w:val="24"/>
        </w:rPr>
      </w:pPr>
      <w:r>
        <w:rPr>
          <w:sz w:val="24"/>
        </w:rPr>
        <w:t>5、</w:t>
      </w:r>
      <w:r>
        <w:rPr>
          <w:rFonts w:hint="eastAsia"/>
          <w:sz w:val="24"/>
        </w:rPr>
        <w:t>运输环节环境影响分析</w:t>
      </w:r>
    </w:p>
    <w:p>
      <w:pPr>
        <w:adjustRightInd w:val="0"/>
        <w:snapToGrid w:val="0"/>
        <w:spacing w:line="360" w:lineRule="auto"/>
        <w:ind w:firstLine="480" w:firstLineChars="200"/>
        <w:rPr>
          <w:rFonts w:hint="eastAsia"/>
          <w:sz w:val="24"/>
        </w:rPr>
      </w:pPr>
      <w:r>
        <w:rPr>
          <w:sz w:val="24"/>
        </w:rPr>
        <w:t>建设项目对周边道路沿线居民的影响主要表现在由于车流量加大，交通噪声可能对居民产生不良影响。</w:t>
      </w:r>
      <w:r>
        <w:rPr>
          <w:rFonts w:hint="eastAsia"/>
          <w:sz w:val="24"/>
        </w:rPr>
        <w:t>本项目</w:t>
      </w:r>
      <w:r>
        <w:rPr>
          <w:sz w:val="24"/>
        </w:rPr>
        <w:t>共建设仓储仓库</w:t>
      </w:r>
      <w:r>
        <w:rPr>
          <w:rFonts w:hint="eastAsia"/>
          <w:sz w:val="24"/>
        </w:rPr>
        <w:t>4座，仓库</w:t>
      </w:r>
      <w:r>
        <w:rPr>
          <w:sz w:val="24"/>
        </w:rPr>
        <w:t>分布在地块中部，靠近各个货车出入口。分拣中心位于地块中部偏东的位置</w:t>
      </w:r>
      <w:r>
        <w:rPr>
          <w:rFonts w:hint="eastAsia"/>
          <w:sz w:val="24"/>
        </w:rPr>
        <w:t>，</w:t>
      </w:r>
      <w:r>
        <w:rPr>
          <w:sz w:val="24"/>
        </w:rPr>
        <w:t>项目研发</w:t>
      </w:r>
      <w:r>
        <w:rPr>
          <w:rFonts w:hint="eastAsia"/>
          <w:sz w:val="24"/>
        </w:rPr>
        <w:t>办公楼</w:t>
      </w:r>
      <w:r>
        <w:rPr>
          <w:sz w:val="24"/>
        </w:rPr>
        <w:t>位于地块的</w:t>
      </w:r>
      <w:r>
        <w:rPr>
          <w:rFonts w:hint="eastAsia"/>
          <w:sz w:val="24"/>
        </w:rPr>
        <w:t>北部和</w:t>
      </w:r>
      <w:r>
        <w:rPr>
          <w:sz w:val="24"/>
        </w:rPr>
        <w:t>西南侧。</w:t>
      </w:r>
      <w:r>
        <w:rPr>
          <w:rFonts w:hint="eastAsia"/>
          <w:sz w:val="24"/>
        </w:rPr>
        <w:t xml:space="preserve">物流仓储区隔研发楼与南侧最近居住区正达公寓距离约278米。本项目主要货车出入口分布在项目北侧、西侧及东侧，远离居民区，通过合理布设汽车行驶路线，加强车辆管理，禁止鸣笛、限速；合理规划项目内的车流方向，保持车流畅通；物流仓库等建筑物隔声、距离衰减，严格控制货物搬运时间等措施，可有效减少对周边居民日常生活的影响。 </w:t>
      </w:r>
    </w:p>
    <w:p>
      <w:pPr>
        <w:adjustRightInd w:val="0"/>
        <w:snapToGrid w:val="0"/>
        <w:spacing w:line="360" w:lineRule="auto"/>
        <w:ind w:firstLine="480" w:firstLineChars="200"/>
        <w:rPr>
          <w:sz w:val="24"/>
        </w:rPr>
      </w:pPr>
      <w:r>
        <w:rPr>
          <w:sz w:val="24"/>
        </w:rPr>
        <w:t>另外，由于运输车辆的增加，造成路面行驶的机动车尾气排放量增多，由于机动车尾气污染物的控制是一个城市或区域内的系统工程，本项目的建设单位及管理单位要在行动和意识上执行国家及当地各级部门对机动车尾气污染物排放控制制定的各项政策措施，禁止尾气污染物超标排放机动车通行，大力推荐使用清洁燃料，加强机动车的检测与维修。</w:t>
      </w:r>
    </w:p>
    <w:p>
      <w:pPr>
        <w:pStyle w:val="3"/>
        <w:spacing w:before="0" w:after="0"/>
        <w:rPr>
          <w:rFonts w:ascii="Times New Roman" w:hAnsi="Times New Roman" w:eastAsia="宋体"/>
          <w:b/>
          <w:sz w:val="28"/>
          <w:szCs w:val="28"/>
        </w:rPr>
      </w:pPr>
      <w:bookmarkStart w:id="159" w:name="_Toc435690438"/>
      <w:r>
        <w:rPr>
          <w:rFonts w:ascii="Times New Roman" w:hAnsi="Times New Roman" w:eastAsia="宋体"/>
          <w:b/>
          <w:sz w:val="28"/>
          <w:szCs w:val="28"/>
        </w:rPr>
        <w:t>4.6总量控制</w:t>
      </w:r>
      <w:bookmarkEnd w:id="159"/>
    </w:p>
    <w:p>
      <w:pPr>
        <w:adjustRightInd w:val="0"/>
        <w:snapToGrid w:val="0"/>
        <w:spacing w:line="360" w:lineRule="auto"/>
        <w:ind w:firstLine="480" w:firstLineChars="200"/>
        <w:rPr>
          <w:sz w:val="24"/>
        </w:rPr>
      </w:pPr>
      <w:r>
        <w:rPr>
          <w:sz w:val="24"/>
        </w:rPr>
        <w:t>1、水污染物排放总量：本项目废水主要为生活污水，水污染物为COD、SS、NH</w:t>
      </w:r>
      <w:r>
        <w:rPr>
          <w:sz w:val="24"/>
          <w:vertAlign w:val="subscript"/>
        </w:rPr>
        <w:t>3</w:t>
      </w:r>
      <w:r>
        <w:rPr>
          <w:sz w:val="24"/>
        </w:rPr>
        <w:t>-N、TP</w:t>
      </w:r>
      <w:r>
        <w:rPr>
          <w:rFonts w:hint="eastAsia"/>
          <w:sz w:val="24"/>
        </w:rPr>
        <w:t>、TN</w:t>
      </w:r>
      <w:r>
        <w:rPr>
          <w:sz w:val="24"/>
        </w:rPr>
        <w:t>，本项目废水接管城南污水处理厂处理。因此项目废水总量平衡纳入城南污水处理厂的总量平衡方案中。</w:t>
      </w:r>
    </w:p>
    <w:p>
      <w:pPr>
        <w:adjustRightInd w:val="0"/>
        <w:snapToGrid w:val="0"/>
        <w:spacing w:line="360" w:lineRule="auto"/>
        <w:ind w:firstLine="480" w:firstLineChars="200"/>
        <w:rPr>
          <w:sz w:val="24"/>
        </w:rPr>
      </w:pPr>
      <w:r>
        <w:rPr>
          <w:sz w:val="24"/>
        </w:rPr>
        <w:t>2、大气污染物排放总量：废气均为无组织排放，不需申请总量。</w:t>
      </w:r>
    </w:p>
    <w:p>
      <w:pPr>
        <w:adjustRightInd w:val="0"/>
        <w:snapToGrid w:val="0"/>
        <w:spacing w:line="360" w:lineRule="auto"/>
        <w:ind w:firstLine="480" w:firstLineChars="200"/>
        <w:rPr>
          <w:sz w:val="24"/>
        </w:rPr>
      </w:pPr>
      <w:r>
        <w:rPr>
          <w:sz w:val="24"/>
        </w:rPr>
        <w:t>3、本项目产生的固废均分类妥善处理，外排量为0。</w:t>
      </w:r>
    </w:p>
    <w:p>
      <w:pPr>
        <w:adjustRightInd w:val="0"/>
        <w:snapToGrid w:val="0"/>
        <w:spacing w:line="360" w:lineRule="auto"/>
        <w:ind w:firstLine="480" w:firstLineChars="200"/>
        <w:jc w:val="center"/>
        <w:rPr>
          <w:sz w:val="24"/>
        </w:rPr>
      </w:pPr>
      <w:r>
        <w:rPr>
          <w:sz w:val="24"/>
        </w:rPr>
        <w:t>表4.6-1污染物排放情况表</w:t>
      </w:r>
    </w:p>
    <w:tbl>
      <w:tblPr>
        <w:tblStyle w:val="59"/>
        <w:tblW w:w="85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0"/>
        <w:gridCol w:w="1557"/>
        <w:gridCol w:w="1134"/>
        <w:gridCol w:w="993"/>
        <w:gridCol w:w="1276"/>
        <w:gridCol w:w="1276"/>
        <w:gridCol w:w="13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tblHeader/>
          <w:jc w:val="center"/>
        </w:trPr>
        <w:tc>
          <w:tcPr>
            <w:tcW w:w="960"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种类</w:t>
            </w:r>
          </w:p>
        </w:tc>
        <w:tc>
          <w:tcPr>
            <w:tcW w:w="1557"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污染物名称</w:t>
            </w:r>
          </w:p>
        </w:tc>
        <w:tc>
          <w:tcPr>
            <w:tcW w:w="1134"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产生量</w:t>
            </w:r>
          </w:p>
        </w:tc>
        <w:tc>
          <w:tcPr>
            <w:tcW w:w="993"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削减量</w:t>
            </w:r>
          </w:p>
        </w:tc>
        <w:tc>
          <w:tcPr>
            <w:tcW w:w="1276"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接管排放量</w:t>
            </w:r>
          </w:p>
        </w:tc>
        <w:tc>
          <w:tcPr>
            <w:tcW w:w="1276"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排入环境量</w:t>
            </w:r>
          </w:p>
        </w:tc>
        <w:tc>
          <w:tcPr>
            <w:tcW w:w="1332" w:type="dxa"/>
            <w:vAlign w:val="top"/>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建议申请量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960" w:type="dxa"/>
            <w:vMerge w:val="restart"/>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废水</w:t>
            </w:r>
          </w:p>
        </w:tc>
        <w:tc>
          <w:tcPr>
            <w:tcW w:w="1557"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废水量</w:t>
            </w:r>
          </w:p>
        </w:tc>
        <w:tc>
          <w:tcPr>
            <w:tcW w:w="1134"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26816</w:t>
            </w:r>
          </w:p>
        </w:tc>
        <w:tc>
          <w:tcPr>
            <w:tcW w:w="993"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w:t>
            </w:r>
          </w:p>
        </w:tc>
        <w:tc>
          <w:tcPr>
            <w:tcW w:w="1276"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26816</w:t>
            </w:r>
          </w:p>
        </w:tc>
        <w:tc>
          <w:tcPr>
            <w:tcW w:w="1276"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26816</w:t>
            </w:r>
          </w:p>
        </w:tc>
        <w:tc>
          <w:tcPr>
            <w:tcW w:w="1332" w:type="dxa"/>
            <w:vMerge w:val="restart"/>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COD、SS、氨氮、TP、TN指标在城南污水处理厂内平衡</w:t>
            </w:r>
            <w:r>
              <w:rPr>
                <w:rFonts w:ascii="Times New Roman" w:hAnsi="Times New Roman" w:eastAsia="宋体"/>
                <w:sz w:val="21"/>
                <w:szCs w:val="21"/>
                <w:lang w:val="en-US" w:eastAsia="zh-CN"/>
              </w:rPr>
              <w:t>；固废零排放，不需申请总量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960" w:type="dxa"/>
            <w:vMerge w:val="continue"/>
            <w:shd w:val="clear" w:color="auto" w:fill="auto"/>
            <w:vAlign w:val="center"/>
          </w:tcPr>
          <w:p>
            <w:pPr>
              <w:pStyle w:val="70"/>
              <w:rPr>
                <w:rFonts w:ascii="Times New Roman" w:hAnsi="Times New Roman" w:eastAsia="宋体"/>
                <w:sz w:val="21"/>
                <w:szCs w:val="21"/>
                <w:lang w:val="en-US" w:eastAsia="zh-CN"/>
              </w:rPr>
            </w:pPr>
          </w:p>
        </w:tc>
        <w:tc>
          <w:tcPr>
            <w:tcW w:w="1557"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COD</w:t>
            </w:r>
          </w:p>
        </w:tc>
        <w:tc>
          <w:tcPr>
            <w:tcW w:w="1134"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9.39</w:t>
            </w:r>
          </w:p>
        </w:tc>
        <w:tc>
          <w:tcPr>
            <w:tcW w:w="993"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1.35</w:t>
            </w:r>
          </w:p>
        </w:tc>
        <w:tc>
          <w:tcPr>
            <w:tcW w:w="1276"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8.04</w:t>
            </w:r>
          </w:p>
        </w:tc>
        <w:tc>
          <w:tcPr>
            <w:tcW w:w="1276"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1.34</w:t>
            </w:r>
          </w:p>
        </w:tc>
        <w:tc>
          <w:tcPr>
            <w:tcW w:w="1332" w:type="dxa"/>
            <w:vMerge w:val="continue"/>
            <w:vAlign w:val="center"/>
          </w:tcPr>
          <w:p>
            <w:pPr>
              <w:pStyle w:val="70"/>
              <w:rPr>
                <w:rFonts w:ascii="Times New Roman" w:hAnsi="Times New Roman" w:eastAsia="宋体"/>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960" w:type="dxa"/>
            <w:vMerge w:val="continue"/>
            <w:shd w:val="clear" w:color="auto" w:fill="auto"/>
            <w:vAlign w:val="center"/>
          </w:tcPr>
          <w:p>
            <w:pPr>
              <w:pStyle w:val="70"/>
              <w:rPr>
                <w:rFonts w:ascii="Times New Roman" w:hAnsi="Times New Roman" w:eastAsia="宋体"/>
                <w:sz w:val="21"/>
                <w:szCs w:val="21"/>
                <w:lang w:val="en-US" w:eastAsia="zh-CN"/>
              </w:rPr>
            </w:pPr>
          </w:p>
        </w:tc>
        <w:tc>
          <w:tcPr>
            <w:tcW w:w="1557"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SS</w:t>
            </w:r>
          </w:p>
        </w:tc>
        <w:tc>
          <w:tcPr>
            <w:tcW w:w="1134"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6.7</w:t>
            </w:r>
          </w:p>
        </w:tc>
        <w:tc>
          <w:tcPr>
            <w:tcW w:w="993"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2.01</w:t>
            </w:r>
          </w:p>
        </w:tc>
        <w:tc>
          <w:tcPr>
            <w:tcW w:w="1276"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4.69</w:t>
            </w:r>
          </w:p>
        </w:tc>
        <w:tc>
          <w:tcPr>
            <w:tcW w:w="1276"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0.27</w:t>
            </w:r>
          </w:p>
        </w:tc>
        <w:tc>
          <w:tcPr>
            <w:tcW w:w="1332" w:type="dxa"/>
            <w:vMerge w:val="continue"/>
            <w:vAlign w:val="center"/>
          </w:tcPr>
          <w:p>
            <w:pPr>
              <w:pStyle w:val="70"/>
              <w:rPr>
                <w:rFonts w:ascii="Times New Roman" w:hAnsi="Times New Roman" w:eastAsia="宋体"/>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960" w:type="dxa"/>
            <w:vMerge w:val="continue"/>
            <w:shd w:val="clear" w:color="auto" w:fill="auto"/>
            <w:vAlign w:val="center"/>
          </w:tcPr>
          <w:p>
            <w:pPr>
              <w:pStyle w:val="70"/>
              <w:rPr>
                <w:rFonts w:ascii="Times New Roman" w:hAnsi="Times New Roman" w:eastAsia="宋体"/>
                <w:sz w:val="21"/>
                <w:szCs w:val="21"/>
                <w:lang w:val="en-US" w:eastAsia="zh-CN"/>
              </w:rPr>
            </w:pPr>
          </w:p>
        </w:tc>
        <w:tc>
          <w:tcPr>
            <w:tcW w:w="1557"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NH</w:t>
            </w:r>
            <w:r>
              <w:rPr>
                <w:rFonts w:ascii="Times New Roman" w:hAnsi="Times New Roman" w:eastAsia="宋体"/>
                <w:sz w:val="21"/>
                <w:szCs w:val="21"/>
                <w:vertAlign w:val="subscript"/>
                <w:lang w:val="en-US" w:eastAsia="zh-CN"/>
              </w:rPr>
              <w:t>3</w:t>
            </w:r>
            <w:r>
              <w:rPr>
                <w:rFonts w:ascii="Times New Roman" w:hAnsi="Times New Roman" w:eastAsia="宋体"/>
                <w:sz w:val="21"/>
                <w:szCs w:val="21"/>
                <w:lang w:val="en-US" w:eastAsia="zh-CN"/>
              </w:rPr>
              <w:t>-N</w:t>
            </w:r>
          </w:p>
        </w:tc>
        <w:tc>
          <w:tcPr>
            <w:tcW w:w="1134"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0.80</w:t>
            </w:r>
          </w:p>
        </w:tc>
        <w:tc>
          <w:tcPr>
            <w:tcW w:w="993"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0.05</w:t>
            </w:r>
          </w:p>
        </w:tc>
        <w:tc>
          <w:tcPr>
            <w:tcW w:w="1276"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0.75</w:t>
            </w:r>
          </w:p>
        </w:tc>
        <w:tc>
          <w:tcPr>
            <w:tcW w:w="1276"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0.13</w:t>
            </w:r>
          </w:p>
        </w:tc>
        <w:tc>
          <w:tcPr>
            <w:tcW w:w="1332" w:type="dxa"/>
            <w:vMerge w:val="continue"/>
            <w:vAlign w:val="center"/>
          </w:tcPr>
          <w:p>
            <w:pPr>
              <w:pStyle w:val="70"/>
              <w:rPr>
                <w:rFonts w:ascii="Times New Roman" w:hAnsi="Times New Roman" w:eastAsia="宋体"/>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960" w:type="dxa"/>
            <w:vMerge w:val="continue"/>
            <w:shd w:val="clear" w:color="auto" w:fill="auto"/>
            <w:vAlign w:val="center"/>
          </w:tcPr>
          <w:p>
            <w:pPr>
              <w:pStyle w:val="70"/>
              <w:rPr>
                <w:rFonts w:ascii="Times New Roman" w:hAnsi="Times New Roman" w:eastAsia="宋体"/>
                <w:sz w:val="21"/>
                <w:szCs w:val="21"/>
                <w:lang w:val="en-US" w:eastAsia="zh-CN"/>
              </w:rPr>
            </w:pPr>
          </w:p>
        </w:tc>
        <w:tc>
          <w:tcPr>
            <w:tcW w:w="1557" w:type="dxa"/>
            <w:shd w:val="clear" w:color="auto" w:fill="auto"/>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TP</w:t>
            </w:r>
          </w:p>
        </w:tc>
        <w:tc>
          <w:tcPr>
            <w:tcW w:w="1134"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0.13</w:t>
            </w:r>
          </w:p>
        </w:tc>
        <w:tc>
          <w:tcPr>
            <w:tcW w:w="993"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0.04</w:t>
            </w:r>
          </w:p>
        </w:tc>
        <w:tc>
          <w:tcPr>
            <w:tcW w:w="1276"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0.09</w:t>
            </w:r>
          </w:p>
        </w:tc>
        <w:tc>
          <w:tcPr>
            <w:tcW w:w="1276"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0.013</w:t>
            </w:r>
          </w:p>
        </w:tc>
        <w:tc>
          <w:tcPr>
            <w:tcW w:w="1332" w:type="dxa"/>
            <w:vMerge w:val="continue"/>
            <w:vAlign w:val="center"/>
          </w:tcPr>
          <w:p>
            <w:pPr>
              <w:pStyle w:val="70"/>
              <w:rPr>
                <w:rFonts w:ascii="Times New Roman" w:hAnsi="Times New Roman" w:eastAsia="宋体"/>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960" w:type="dxa"/>
            <w:vMerge w:val="continue"/>
            <w:shd w:val="clear" w:color="auto" w:fill="auto"/>
            <w:vAlign w:val="center"/>
          </w:tcPr>
          <w:p>
            <w:pPr>
              <w:pStyle w:val="70"/>
              <w:rPr>
                <w:rFonts w:ascii="Times New Roman" w:hAnsi="Times New Roman" w:eastAsia="宋体"/>
                <w:sz w:val="21"/>
                <w:szCs w:val="21"/>
                <w:lang w:val="en-US" w:eastAsia="zh-CN"/>
              </w:rPr>
            </w:pPr>
          </w:p>
        </w:tc>
        <w:tc>
          <w:tcPr>
            <w:tcW w:w="1557"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TN</w:t>
            </w:r>
          </w:p>
        </w:tc>
        <w:tc>
          <w:tcPr>
            <w:tcW w:w="1134"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1.88</w:t>
            </w:r>
          </w:p>
        </w:tc>
        <w:tc>
          <w:tcPr>
            <w:tcW w:w="993"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w:t>
            </w:r>
          </w:p>
        </w:tc>
        <w:tc>
          <w:tcPr>
            <w:tcW w:w="1276"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1.88</w:t>
            </w:r>
          </w:p>
        </w:tc>
        <w:tc>
          <w:tcPr>
            <w:tcW w:w="1276" w:type="dxa"/>
            <w:shd w:val="clear" w:color="auto" w:fill="auto"/>
            <w:vAlign w:val="center"/>
          </w:tcPr>
          <w:p>
            <w:pPr>
              <w:pStyle w:val="70"/>
              <w:rPr>
                <w:rFonts w:ascii="Times New Roman" w:hAnsi="Times New Roman" w:eastAsia="宋体"/>
                <w:sz w:val="21"/>
                <w:szCs w:val="21"/>
                <w:lang w:val="en-US" w:eastAsia="zh-CN"/>
              </w:rPr>
            </w:pPr>
            <w:r>
              <w:rPr>
                <w:rFonts w:hint="eastAsia" w:ascii="Times New Roman" w:hAnsi="Times New Roman" w:eastAsia="宋体"/>
                <w:sz w:val="21"/>
                <w:szCs w:val="21"/>
                <w:lang w:val="en-US" w:eastAsia="zh-CN"/>
              </w:rPr>
              <w:t>0.4</w:t>
            </w:r>
          </w:p>
        </w:tc>
        <w:tc>
          <w:tcPr>
            <w:tcW w:w="1332" w:type="dxa"/>
            <w:vMerge w:val="continue"/>
            <w:vAlign w:val="center"/>
          </w:tcPr>
          <w:p>
            <w:pPr>
              <w:pStyle w:val="70"/>
              <w:rPr>
                <w:rFonts w:ascii="Times New Roman" w:hAnsi="Times New Roman" w:eastAsia="宋体"/>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960" w:type="dxa"/>
            <w:vMerge w:val="restart"/>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固废</w:t>
            </w:r>
          </w:p>
        </w:tc>
        <w:tc>
          <w:tcPr>
            <w:tcW w:w="1557" w:type="dxa"/>
            <w:vAlign w:val="center"/>
          </w:tcPr>
          <w:p>
            <w:pPr>
              <w:snapToGrid w:val="0"/>
              <w:jc w:val="center"/>
              <w:rPr>
                <w:szCs w:val="21"/>
              </w:rPr>
            </w:pPr>
            <w:r>
              <w:rPr>
                <w:szCs w:val="21"/>
              </w:rPr>
              <w:t>废</w:t>
            </w:r>
            <w:r>
              <w:rPr>
                <w:rFonts w:hint="eastAsia"/>
                <w:szCs w:val="21"/>
              </w:rPr>
              <w:t>包装</w:t>
            </w:r>
          </w:p>
        </w:tc>
        <w:tc>
          <w:tcPr>
            <w:tcW w:w="1134" w:type="dxa"/>
            <w:vAlign w:val="center"/>
          </w:tcPr>
          <w:p>
            <w:pPr>
              <w:snapToGrid w:val="0"/>
              <w:jc w:val="center"/>
              <w:rPr>
                <w:szCs w:val="21"/>
              </w:rPr>
            </w:pPr>
            <w:r>
              <w:rPr>
                <w:rFonts w:hint="eastAsia"/>
                <w:szCs w:val="21"/>
              </w:rPr>
              <w:t>5.8</w:t>
            </w:r>
          </w:p>
        </w:tc>
        <w:tc>
          <w:tcPr>
            <w:tcW w:w="993" w:type="dxa"/>
            <w:vAlign w:val="center"/>
          </w:tcPr>
          <w:p>
            <w:pPr>
              <w:snapToGrid w:val="0"/>
              <w:jc w:val="center"/>
              <w:rPr>
                <w:szCs w:val="21"/>
              </w:rPr>
            </w:pPr>
            <w:r>
              <w:rPr>
                <w:rFonts w:hint="eastAsia"/>
                <w:szCs w:val="21"/>
              </w:rPr>
              <w:t>5.8</w:t>
            </w:r>
          </w:p>
        </w:tc>
        <w:tc>
          <w:tcPr>
            <w:tcW w:w="1276" w:type="dxa"/>
            <w:vAlign w:val="center"/>
          </w:tcPr>
          <w:p>
            <w:pPr>
              <w:pStyle w:val="70"/>
              <w:rPr>
                <w:rFonts w:ascii="Times New Roman" w:hAnsi="Times New Roman" w:eastAsia="宋体"/>
                <w:sz w:val="21"/>
                <w:szCs w:val="21"/>
                <w:lang w:val="en-US" w:eastAsia="zh-CN"/>
              </w:rPr>
            </w:pPr>
            <w:r>
              <w:rPr>
                <w:rFonts w:ascii="Times New Roman" w:hAnsi="Times New Roman"/>
                <w:sz w:val="21"/>
                <w:szCs w:val="21"/>
              </w:rPr>
              <w:t>/</w:t>
            </w:r>
          </w:p>
        </w:tc>
        <w:tc>
          <w:tcPr>
            <w:tcW w:w="1276"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0</w:t>
            </w:r>
          </w:p>
        </w:tc>
        <w:tc>
          <w:tcPr>
            <w:tcW w:w="1332" w:type="dxa"/>
            <w:vMerge w:val="continue"/>
            <w:vAlign w:val="center"/>
          </w:tcPr>
          <w:p>
            <w:pPr>
              <w:pStyle w:val="70"/>
              <w:rPr>
                <w:rFonts w:ascii="Times New Roman" w:hAnsi="Times New Roman" w:eastAsia="宋体"/>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960" w:type="dxa"/>
            <w:vMerge w:val="continue"/>
            <w:vAlign w:val="center"/>
          </w:tcPr>
          <w:p>
            <w:pPr>
              <w:pStyle w:val="70"/>
              <w:rPr>
                <w:rFonts w:ascii="Times New Roman" w:hAnsi="Times New Roman" w:eastAsia="宋体"/>
                <w:sz w:val="21"/>
                <w:szCs w:val="21"/>
                <w:lang w:val="en-US" w:eastAsia="zh-CN"/>
              </w:rPr>
            </w:pPr>
          </w:p>
        </w:tc>
        <w:tc>
          <w:tcPr>
            <w:tcW w:w="1557" w:type="dxa"/>
            <w:vAlign w:val="center"/>
          </w:tcPr>
          <w:p>
            <w:pPr>
              <w:snapToGrid w:val="0"/>
              <w:jc w:val="center"/>
              <w:rPr>
                <w:szCs w:val="21"/>
              </w:rPr>
            </w:pPr>
            <w:r>
              <w:rPr>
                <w:szCs w:val="21"/>
              </w:rPr>
              <w:t>生活垃圾</w:t>
            </w:r>
          </w:p>
        </w:tc>
        <w:tc>
          <w:tcPr>
            <w:tcW w:w="1134" w:type="dxa"/>
            <w:vAlign w:val="center"/>
          </w:tcPr>
          <w:p>
            <w:pPr>
              <w:snapToGrid w:val="0"/>
              <w:jc w:val="center"/>
              <w:rPr>
                <w:szCs w:val="21"/>
              </w:rPr>
            </w:pPr>
            <w:r>
              <w:rPr>
                <w:rFonts w:hint="eastAsia"/>
                <w:szCs w:val="21"/>
              </w:rPr>
              <w:t>125.7</w:t>
            </w:r>
          </w:p>
        </w:tc>
        <w:tc>
          <w:tcPr>
            <w:tcW w:w="993" w:type="dxa"/>
            <w:vAlign w:val="center"/>
          </w:tcPr>
          <w:p>
            <w:pPr>
              <w:snapToGrid w:val="0"/>
              <w:jc w:val="center"/>
              <w:rPr>
                <w:szCs w:val="21"/>
              </w:rPr>
            </w:pPr>
            <w:r>
              <w:rPr>
                <w:rFonts w:hint="eastAsia"/>
                <w:szCs w:val="21"/>
              </w:rPr>
              <w:t>125.7</w:t>
            </w:r>
          </w:p>
        </w:tc>
        <w:tc>
          <w:tcPr>
            <w:tcW w:w="1276" w:type="dxa"/>
            <w:vAlign w:val="center"/>
          </w:tcPr>
          <w:p>
            <w:pPr>
              <w:pStyle w:val="70"/>
              <w:rPr>
                <w:rFonts w:ascii="Times New Roman" w:hAnsi="Times New Roman" w:eastAsia="宋体"/>
                <w:sz w:val="21"/>
                <w:szCs w:val="21"/>
                <w:lang w:val="en-US" w:eastAsia="zh-CN"/>
              </w:rPr>
            </w:pPr>
            <w:r>
              <w:rPr>
                <w:rFonts w:ascii="Times New Roman" w:hAnsi="Times New Roman"/>
                <w:sz w:val="21"/>
                <w:szCs w:val="21"/>
              </w:rPr>
              <w:t>/</w:t>
            </w:r>
          </w:p>
        </w:tc>
        <w:tc>
          <w:tcPr>
            <w:tcW w:w="1276"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0</w:t>
            </w:r>
          </w:p>
        </w:tc>
        <w:tc>
          <w:tcPr>
            <w:tcW w:w="1332" w:type="dxa"/>
            <w:vMerge w:val="continue"/>
            <w:vAlign w:val="center"/>
          </w:tcPr>
          <w:p>
            <w:pPr>
              <w:pStyle w:val="70"/>
              <w:rPr>
                <w:rFonts w:ascii="Times New Roman" w:hAnsi="Times New Roman" w:eastAsia="宋体"/>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960" w:type="dxa"/>
            <w:vMerge w:val="continue"/>
            <w:vAlign w:val="center"/>
          </w:tcPr>
          <w:p>
            <w:pPr>
              <w:pStyle w:val="70"/>
              <w:rPr>
                <w:rFonts w:ascii="Times New Roman" w:hAnsi="Times New Roman" w:eastAsia="宋体"/>
                <w:sz w:val="21"/>
                <w:szCs w:val="21"/>
                <w:lang w:val="en-US" w:eastAsia="zh-CN"/>
              </w:rPr>
            </w:pPr>
          </w:p>
        </w:tc>
        <w:tc>
          <w:tcPr>
            <w:tcW w:w="1557" w:type="dxa"/>
            <w:vAlign w:val="center"/>
          </w:tcPr>
          <w:p>
            <w:pPr>
              <w:snapToGrid w:val="0"/>
              <w:jc w:val="center"/>
              <w:rPr>
                <w:szCs w:val="21"/>
              </w:rPr>
            </w:pPr>
            <w:r>
              <w:rPr>
                <w:rFonts w:hint="eastAsia"/>
                <w:szCs w:val="21"/>
              </w:rPr>
              <w:t>办公垃圾</w:t>
            </w:r>
          </w:p>
        </w:tc>
        <w:tc>
          <w:tcPr>
            <w:tcW w:w="1134" w:type="dxa"/>
            <w:vAlign w:val="center"/>
          </w:tcPr>
          <w:p>
            <w:pPr>
              <w:snapToGrid w:val="0"/>
              <w:jc w:val="center"/>
              <w:rPr>
                <w:szCs w:val="21"/>
              </w:rPr>
            </w:pPr>
            <w:r>
              <w:rPr>
                <w:rFonts w:hint="eastAsia"/>
                <w:szCs w:val="21"/>
              </w:rPr>
              <w:t>0.15</w:t>
            </w:r>
          </w:p>
        </w:tc>
        <w:tc>
          <w:tcPr>
            <w:tcW w:w="993" w:type="dxa"/>
            <w:vAlign w:val="center"/>
          </w:tcPr>
          <w:p>
            <w:pPr>
              <w:snapToGrid w:val="0"/>
              <w:jc w:val="center"/>
              <w:rPr>
                <w:szCs w:val="21"/>
              </w:rPr>
            </w:pPr>
            <w:r>
              <w:rPr>
                <w:rFonts w:hint="eastAsia"/>
                <w:szCs w:val="21"/>
              </w:rPr>
              <w:t>0.15</w:t>
            </w:r>
          </w:p>
        </w:tc>
        <w:tc>
          <w:tcPr>
            <w:tcW w:w="1276" w:type="dxa"/>
            <w:vAlign w:val="center"/>
          </w:tcPr>
          <w:p>
            <w:pPr>
              <w:pStyle w:val="70"/>
              <w:rPr>
                <w:rFonts w:ascii="Times New Roman" w:hAnsi="Times New Roman" w:eastAsia="宋体"/>
                <w:sz w:val="21"/>
                <w:szCs w:val="21"/>
                <w:lang w:val="en-US" w:eastAsia="zh-CN"/>
              </w:rPr>
            </w:pPr>
            <w:r>
              <w:rPr>
                <w:rFonts w:ascii="Times New Roman" w:hAnsi="Times New Roman"/>
                <w:sz w:val="21"/>
                <w:szCs w:val="21"/>
              </w:rPr>
              <w:t>/</w:t>
            </w:r>
          </w:p>
        </w:tc>
        <w:tc>
          <w:tcPr>
            <w:tcW w:w="1276" w:type="dxa"/>
            <w:vAlign w:val="center"/>
          </w:tcPr>
          <w:p>
            <w:pPr>
              <w:pStyle w:val="70"/>
              <w:rPr>
                <w:rFonts w:ascii="Times New Roman" w:hAnsi="Times New Roman" w:eastAsia="宋体"/>
                <w:sz w:val="21"/>
                <w:szCs w:val="21"/>
                <w:lang w:val="en-US" w:eastAsia="zh-CN"/>
              </w:rPr>
            </w:pPr>
            <w:r>
              <w:rPr>
                <w:rFonts w:ascii="Times New Roman" w:hAnsi="Times New Roman" w:eastAsia="宋体"/>
                <w:sz w:val="21"/>
                <w:szCs w:val="21"/>
                <w:lang w:val="en-US" w:eastAsia="zh-CN"/>
              </w:rPr>
              <w:t>0</w:t>
            </w:r>
          </w:p>
        </w:tc>
        <w:tc>
          <w:tcPr>
            <w:tcW w:w="1332" w:type="dxa"/>
            <w:vMerge w:val="continue"/>
            <w:vAlign w:val="center"/>
          </w:tcPr>
          <w:p>
            <w:pPr>
              <w:pStyle w:val="70"/>
              <w:rPr>
                <w:rFonts w:ascii="Times New Roman" w:hAnsi="Times New Roman" w:eastAsia="宋体"/>
                <w:sz w:val="21"/>
                <w:szCs w:val="21"/>
                <w:lang w:val="en-US" w:eastAsia="zh-CN"/>
              </w:rPr>
            </w:pPr>
          </w:p>
        </w:tc>
      </w:tr>
    </w:tbl>
    <w:p>
      <w:pPr>
        <w:autoSpaceDE w:val="0"/>
        <w:autoSpaceDN w:val="0"/>
        <w:adjustRightInd w:val="0"/>
        <w:snapToGrid w:val="0"/>
        <w:spacing w:line="360" w:lineRule="auto"/>
        <w:ind w:firstLine="482" w:firstLineChars="200"/>
        <w:rPr>
          <w:b/>
          <w:color w:val="000000"/>
          <w:kern w:val="0"/>
          <w:sz w:val="24"/>
        </w:rPr>
      </w:pPr>
      <w:r>
        <w:rPr>
          <w:b/>
          <w:color w:val="000000"/>
          <w:sz w:val="24"/>
        </w:rPr>
        <w:t>综上所述，</w:t>
      </w:r>
      <w:r>
        <w:rPr>
          <w:rFonts w:hint="eastAsia"/>
          <w:b/>
          <w:color w:val="000000"/>
          <w:sz w:val="24"/>
        </w:rPr>
        <w:t>本</w:t>
      </w:r>
      <w:r>
        <w:rPr>
          <w:b/>
          <w:color w:val="000000"/>
          <w:sz w:val="24"/>
        </w:rPr>
        <w:t>建设项目符合国家相关产业政策和城市总体规划。</w:t>
      </w:r>
      <w:r>
        <w:rPr>
          <w:rFonts w:hint="eastAsia"/>
          <w:b/>
          <w:color w:val="000000"/>
          <w:sz w:val="24"/>
        </w:rPr>
        <w:t>在</w:t>
      </w:r>
      <w:r>
        <w:rPr>
          <w:b/>
          <w:color w:val="000000"/>
          <w:sz w:val="24"/>
        </w:rPr>
        <w:t>落实各项防治措施、</w:t>
      </w:r>
      <w:r>
        <w:rPr>
          <w:rFonts w:hint="eastAsia"/>
          <w:b/>
          <w:color w:val="000000"/>
          <w:sz w:val="24"/>
        </w:rPr>
        <w:t>整改措施、</w:t>
      </w:r>
      <w:r>
        <w:rPr>
          <w:b/>
          <w:color w:val="000000"/>
          <w:sz w:val="24"/>
        </w:rPr>
        <w:t>环保要求</w:t>
      </w:r>
      <w:r>
        <w:rPr>
          <w:rFonts w:hint="eastAsia"/>
          <w:b/>
          <w:color w:val="000000"/>
          <w:sz w:val="24"/>
        </w:rPr>
        <w:t>、</w:t>
      </w:r>
      <w:r>
        <w:rPr>
          <w:b/>
          <w:sz w:val="24"/>
        </w:rPr>
        <w:t>实施“三同时”</w:t>
      </w:r>
      <w:r>
        <w:rPr>
          <w:b/>
          <w:color w:val="000000"/>
          <w:sz w:val="24"/>
        </w:rPr>
        <w:t>及总量控制要求的前提下，该项目的建设方案和规划，在环境保护方面是可行的。</w:t>
      </w:r>
    </w:p>
    <w:p>
      <w:pPr>
        <w:adjustRightInd w:val="0"/>
        <w:snapToGrid w:val="0"/>
        <w:spacing w:line="360" w:lineRule="auto"/>
        <w:ind w:firstLine="482" w:firstLineChars="200"/>
        <w:rPr>
          <w:b/>
          <w:sz w:val="24"/>
        </w:rPr>
      </w:pPr>
      <w:r>
        <w:rPr>
          <w:b/>
          <w:color w:val="000000"/>
          <w:sz w:val="24"/>
        </w:rPr>
        <w:t>上述评价结论是在建设单位确定建设内容和规模（包括产品方案、生产工艺、设备、</w:t>
      </w:r>
      <w:r>
        <w:rPr>
          <w:rFonts w:hint="eastAsia"/>
          <w:b/>
          <w:color w:val="000000"/>
          <w:sz w:val="24"/>
        </w:rPr>
        <w:t>选</w:t>
      </w:r>
      <w:r>
        <w:rPr>
          <w:b/>
          <w:color w:val="000000"/>
          <w:sz w:val="24"/>
        </w:rPr>
        <w:t>址以及排污情况）的基础上得出的。若本项目建设内容和规模发生较大变化，建设单位应按环保部门的有关要求另行申报。</w:t>
      </w:r>
    </w:p>
    <w:p>
      <w:pPr>
        <w:pStyle w:val="3"/>
        <w:spacing w:before="0" w:after="0" w:line="360" w:lineRule="auto"/>
        <w:rPr>
          <w:rFonts w:ascii="Times New Roman" w:hAnsi="Times New Roman" w:eastAsia="宋体"/>
          <w:b/>
          <w:sz w:val="28"/>
          <w:szCs w:val="28"/>
        </w:rPr>
      </w:pPr>
      <w:bookmarkStart w:id="160" w:name="_Toc435690439"/>
      <w:r>
        <w:rPr>
          <w:rFonts w:hint="eastAsia" w:ascii="Times New Roman" w:hAnsi="Times New Roman" w:eastAsia="宋体"/>
          <w:b/>
          <w:sz w:val="28"/>
          <w:szCs w:val="28"/>
        </w:rPr>
        <w:t>4.7</w:t>
      </w:r>
      <w:r>
        <w:rPr>
          <w:rFonts w:ascii="Times New Roman" w:hAnsi="Times New Roman" w:eastAsia="宋体"/>
          <w:b/>
          <w:sz w:val="28"/>
          <w:szCs w:val="28"/>
        </w:rPr>
        <w:t>环保要求和建议</w:t>
      </w:r>
      <w:bookmarkEnd w:id="160"/>
    </w:p>
    <w:p>
      <w:pPr>
        <w:adjustRightInd w:val="0"/>
        <w:snapToGrid w:val="0"/>
        <w:spacing w:line="360" w:lineRule="auto"/>
        <w:ind w:firstLine="480" w:firstLineChars="200"/>
        <w:rPr>
          <w:sz w:val="24"/>
        </w:rPr>
      </w:pPr>
      <w:r>
        <w:rPr>
          <w:sz w:val="24"/>
        </w:rPr>
        <w:t>（1）本环评表评估结论是根据业主提供资料的基础上分析得到。若项目发生重大变化，应报请环保部门重新编制环境评价报告。</w:t>
      </w:r>
    </w:p>
    <w:p>
      <w:pPr>
        <w:adjustRightInd w:val="0"/>
        <w:snapToGrid w:val="0"/>
        <w:spacing w:line="360" w:lineRule="auto"/>
        <w:ind w:firstLine="480" w:firstLineChars="200"/>
        <w:rPr>
          <w:rFonts w:hint="eastAsia"/>
          <w:sz w:val="24"/>
        </w:rPr>
      </w:pPr>
      <w:r>
        <w:rPr>
          <w:sz w:val="24"/>
        </w:rPr>
        <w:t>（2）切实做好报告</w:t>
      </w:r>
      <w:r>
        <w:rPr>
          <w:rFonts w:hint="eastAsia"/>
          <w:sz w:val="24"/>
        </w:rPr>
        <w:t>表</w:t>
      </w:r>
      <w:r>
        <w:rPr>
          <w:sz w:val="24"/>
        </w:rPr>
        <w:t>中提出的各项污染防治措施，成立专门小组负责各环保设施的日常运行和管理维护，将各项环保措施落实到实处。</w:t>
      </w:r>
    </w:p>
    <w:p>
      <w:pPr>
        <w:adjustRightInd w:val="0"/>
        <w:snapToGrid w:val="0"/>
        <w:spacing w:line="360" w:lineRule="auto"/>
        <w:ind w:firstLine="480" w:firstLineChars="200"/>
        <w:rPr>
          <w:rFonts w:hint="eastAsia"/>
          <w:sz w:val="24"/>
        </w:rPr>
      </w:pPr>
      <w:r>
        <w:rPr>
          <w:rFonts w:hint="eastAsia"/>
          <w:sz w:val="24"/>
        </w:rPr>
        <w:t>（3）</w:t>
      </w:r>
      <w:r>
        <w:rPr>
          <w:sz w:val="24"/>
        </w:rPr>
        <w:t>加强施工期管理，严格控制施工扬尘，确保建筑垃圾全部按照相关规定清运至指定地点；注意安排协调好施工期打桩等强噪声作业时间，防治噪声扰民现象的发生；杜绝夜间施工。</w:t>
      </w:r>
    </w:p>
    <w:p>
      <w:pPr>
        <w:adjustRightInd w:val="0"/>
        <w:snapToGrid w:val="0"/>
        <w:spacing w:line="360" w:lineRule="auto"/>
        <w:ind w:firstLine="480" w:firstLineChars="200"/>
        <w:rPr>
          <w:rFonts w:hint="eastAsia"/>
          <w:sz w:val="24"/>
        </w:rPr>
      </w:pPr>
      <w:r>
        <w:rPr>
          <w:sz w:val="24"/>
        </w:rPr>
        <w:t>（4）</w:t>
      </w:r>
      <w:r>
        <w:rPr>
          <w:rFonts w:hint="eastAsia"/>
          <w:sz w:val="24"/>
        </w:rPr>
        <w:t>本项目研发办公用房主要</w:t>
      </w:r>
      <w:r>
        <w:rPr>
          <w:sz w:val="24"/>
        </w:rPr>
        <w:t>进行物流交易、配送、仓储等专业软件系统研发，</w:t>
      </w:r>
      <w:r>
        <w:rPr>
          <w:rFonts w:hint="eastAsia"/>
          <w:sz w:val="24"/>
        </w:rPr>
        <w:t>以云服务为构架，打造专业协同型供应链，建立资源共享型管理模式，创建功能复合型服务集成的物流信息技术服务平台。</w:t>
      </w:r>
      <w:r>
        <w:rPr>
          <w:rFonts w:hint="eastAsia"/>
          <w:color w:val="000000"/>
          <w:sz w:val="24"/>
        </w:rPr>
        <w:t>本项目研发办公用房均为建设单位专用，建成后不得将本项目研发办公用房分割转让（包括出售、交换和赠与）给与本项目用地类型及研发内容不相符的企业或机构</w:t>
      </w:r>
      <w:r>
        <w:rPr>
          <w:rFonts w:hint="eastAsia"/>
          <w:sz w:val="24"/>
        </w:rPr>
        <w:t>。</w:t>
      </w:r>
    </w:p>
    <w:p>
      <w:pPr>
        <w:adjustRightInd w:val="0"/>
        <w:snapToGrid w:val="0"/>
        <w:spacing w:line="360" w:lineRule="auto"/>
        <w:ind w:firstLine="480" w:firstLineChars="200"/>
        <w:rPr>
          <w:rFonts w:hint="eastAsia"/>
          <w:sz w:val="24"/>
        </w:rPr>
      </w:pPr>
      <w:r>
        <w:rPr>
          <w:sz w:val="24"/>
        </w:rPr>
        <w:t>（</w:t>
      </w:r>
      <w:r>
        <w:rPr>
          <w:rFonts w:hint="eastAsia"/>
          <w:sz w:val="24"/>
        </w:rPr>
        <w:t>5</w:t>
      </w:r>
      <w:r>
        <w:rPr>
          <w:sz w:val="24"/>
        </w:rPr>
        <w:t>）</w:t>
      </w:r>
      <w:r>
        <w:rPr>
          <w:rFonts w:hint="eastAsia"/>
          <w:sz w:val="24"/>
        </w:rPr>
        <w:t>营运期做好内部车辆管理工作，禁止鸣笛、限速；通过合理规划项目内的车流方向，保持车流畅通；物流仓库等建筑物隔声、距离衰减，严格控制货物搬运时间等措施，减轻对周边居民日常生活的影响。</w:t>
      </w:r>
    </w:p>
    <w:sectPr>
      <w:pgSz w:w="11906" w:h="16838"/>
      <w:pgMar w:top="1440" w:right="1797" w:bottom="1440" w:left="179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modern"/>
    <w:pitch w:val="default"/>
    <w:sig w:usb0="E00002FF" w:usb1="400004FF" w:usb2="00000000" w:usb3="00000000" w:csb0="2000019F" w:csb1="00000000"/>
  </w:font>
  <w:font w:name="Calibri">
    <w:panose1 w:val="020F0502020204030204"/>
    <w:charset w:val="00"/>
    <w:family w:val="decorative"/>
    <w:pitch w:val="default"/>
    <w:sig w:usb0="E00002FF" w:usb1="4000ACFF" w:usb2="00000001" w:usb3="00000000" w:csb0="2000019F" w:csb1="00000000"/>
  </w:font>
  <w:font w:name="仿宋_GB2312">
    <w:altName w:val="仿宋"/>
    <w:panose1 w:val="02010609030101010101"/>
    <w:charset w:val="86"/>
    <w:family w:val="modern"/>
    <w:pitch w:val="default"/>
    <w:sig w:usb0="00000001" w:usb1="080E0000" w:usb2="00000010" w:usb3="00000000" w:csb0="00040000" w:csb1="00000000"/>
  </w:font>
  <w:font w:name="黑体">
    <w:panose1 w:val="02010609060101010101"/>
    <w:charset w:val="86"/>
    <w:family w:val="modern"/>
    <w:pitch w:val="default"/>
    <w:sig w:usb0="800002BF" w:usb1="38CF7CFA" w:usb2="00000016" w:usb3="00000000" w:csb0="00040001" w:csb1="00000000"/>
  </w:font>
  <w:font w:name="Arial">
    <w:panose1 w:val="020B0604020202020204"/>
    <w:charset w:val="00"/>
    <w:family w:val="swiss"/>
    <w:pitch w:val="default"/>
    <w:sig w:usb0="E0002AFF" w:usb1="C0007843" w:usb2="00000009" w:usb3="00000000" w:csb0="400001FF" w:csb1="FFFF0000"/>
  </w:font>
  <w:font w:name="楷体_GB2312">
    <w:altName w:val="楷体"/>
    <w:panose1 w:val="02010609030101010101"/>
    <w:charset w:val="86"/>
    <w:family w:val="modern"/>
    <w:pitch w:val="default"/>
    <w:sig w:usb0="00000001" w:usb1="080E0000" w:usb2="00000010" w:usb3="00000000" w:csb0="00040000" w:csb1="00000000"/>
  </w:font>
  <w:font w:name="Arial Black">
    <w:panose1 w:val="020B0A04020102020204"/>
    <w:charset w:val="00"/>
    <w:family w:val="swiss"/>
    <w:pitch w:val="default"/>
    <w:sig w:usb0="00000287" w:usb1="00000000" w:usb2="00000000" w:usb3="00000000" w:csb0="2000009F" w:csb1="DFD70000"/>
  </w:font>
  <w:font w:name="Tms Rmn">
    <w:altName w:val="Segoe Print"/>
    <w:panose1 w:val="02020603040505020304"/>
    <w:charset w:val="00"/>
    <w:family w:val="roman"/>
    <w:pitch w:val="default"/>
    <w:sig w:usb0="00000003" w:usb1="00000000" w:usb2="00000000" w:usb3="00000000" w:csb0="00000001" w:csb1="00000000"/>
  </w:font>
  <w:font w:name="ˎ̥">
    <w:altName w:val="Times New Roman"/>
    <w:panose1 w:val="00000000000000000000"/>
    <w:charset w:val="00"/>
    <w:family w:val="roman"/>
    <w:pitch w:val="default"/>
    <w:sig w:usb0="00000000" w:usb1="00000000" w:usb2="00000000" w:usb3="00000000" w:csb0="00040001" w:csb1="00000000"/>
  </w:font>
  <w:font w:name="Courier New">
    <w:panose1 w:val="02070309020205020404"/>
    <w:charset w:val="00"/>
    <w:family w:val="modern"/>
    <w:pitch w:val="default"/>
    <w:sig w:usb0="E0002AFF" w:usb1="C0007843" w:usb2="00000009" w:usb3="00000000" w:csb0="400001FF" w:csb1="FFFF0000"/>
  </w:font>
  <w:font w:name="Cambria">
    <w:panose1 w:val="02040503050406030204"/>
    <w:charset w:val="00"/>
    <w:family w:val="roman"/>
    <w:pitch w:val="default"/>
    <w:sig w:usb0="E00002FF" w:usb1="400004FF" w:usb2="00000000" w:usb3="00000000" w:csb0="2000019F" w:csb1="00000000"/>
  </w:font>
  <w:font w:name="Arial Narrow">
    <w:altName w:val="Arial"/>
    <w:panose1 w:val="020B0606020202030204"/>
    <w:charset w:val="00"/>
    <w:family w:val="swiss"/>
    <w:pitch w:val="default"/>
    <w:sig w:usb0="00000287" w:usb1="00000800" w:usb2="00000000" w:usb3="00000000" w:csb0="0000009F" w:csb1="00000000"/>
  </w:font>
  <w:font w:name="Arial Unicode MS">
    <w:panose1 w:val="020B0604020202020204"/>
    <w:charset w:val="86"/>
    <w:family w:val="swiss"/>
    <w:pitch w:val="default"/>
    <w:sig w:usb0="FFFFFFFF" w:usb1="E9FFFFFF" w:usb2="0000003F" w:usb3="00000000" w:csb0="603F01FF" w:csb1="FFFF0000"/>
  </w:font>
  <w:font w:name="Calibri">
    <w:panose1 w:val="020F0502020204030204"/>
    <w:charset w:val="00"/>
    <w:family w:val="swiss"/>
    <w:pitch w:val="default"/>
    <w:sig w:usb0="E00002FF" w:usb1="4000ACFF" w:usb2="00000001" w:usb3="00000000" w:csb0="2000019F" w:csb1="00000000"/>
  </w:font>
  <w:font w:name="CG Times (WN)">
    <w:altName w:val="Times New Roman"/>
    <w:panose1 w:val="00000000000000000000"/>
    <w:charset w:val="00"/>
    <w:family w:val="auto"/>
    <w:pitch w:val="default"/>
    <w:sig w:usb0="00000003" w:usb1="00000000" w:usb2="00000000" w:usb3="00000000" w:csb0="00000001" w:csb1="00000000"/>
  </w:font>
  <w:font w:name="仿宋体">
    <w:altName w:val="宋体"/>
    <w:panose1 w:val="00000000000000000000"/>
    <w:charset w:val="86"/>
    <w:family w:val="auto"/>
    <w:pitch w:val="default"/>
    <w:sig w:usb0="00000001" w:usb1="080E0000" w:usb2="00000010" w:usb3="00000000" w:csb0="00040000" w:csb1="00000000"/>
  </w:font>
  <w:font w:name="华文中宋">
    <w:panose1 w:val="02010600040101010101"/>
    <w:charset w:val="86"/>
    <w:family w:val="auto"/>
    <w:pitch w:val="default"/>
    <w:sig w:usb0="00000287" w:usb1="080F0000" w:usb2="00000000" w:usb3="00000000" w:csb0="0004009F" w:csb1="DFD70000"/>
  </w:font>
  <w:font w:name="_x000B__x000C_">
    <w:altName w:val="Times New Roman"/>
    <w:panose1 w:val="00000000000000000000"/>
    <w:charset w:val="00"/>
    <w:family w:val="roman"/>
    <w:pitch w:val="default"/>
    <w:sig w:usb0="00000000" w:usb1="00000000" w:usb2="00000000" w:usb3="00000000" w:csb0="00040001" w:csb1="00000000"/>
  </w:font>
  <w:font w:name="隶书">
    <w:panose1 w:val="02010509060101010101"/>
    <w:charset w:val="86"/>
    <w:family w:val="modern"/>
    <w:pitch w:val="default"/>
    <w:sig w:usb0="00000001" w:usb1="080E0000" w:usb2="00000000" w:usb3="00000000" w:csb0="00040000" w:csb1="00000000"/>
  </w:font>
  <w:font w:name="Malgun Gothic">
    <w:panose1 w:val="020B0503020000020004"/>
    <w:charset w:val="81"/>
    <w:family w:val="swiss"/>
    <w:pitch w:val="default"/>
    <w:sig w:usb0="900002AF" w:usb1="01D77CFB" w:usb2="00000012" w:usb3="00000000" w:csb0="00080001" w:csb1="00000000"/>
  </w:font>
  <w:font w:name="微软雅黑">
    <w:panose1 w:val="020B0503020204020204"/>
    <w:charset w:val="86"/>
    <w:family w:val="swiss"/>
    <w:pitch w:val="default"/>
    <w:sig w:usb0="80000287" w:usb1="280F3C52" w:usb2="00000016" w:usb3="00000000" w:csb0="0004001F" w:csb1="00000000"/>
  </w:font>
  <w:font w:name="Cambria Math">
    <w:panose1 w:val="02040503050406030204"/>
    <w:charset w:val="00"/>
    <w:family w:val="roman"/>
    <w:pitch w:val="default"/>
    <w:sig w:usb0="E00002FF" w:usb1="420024FF" w:usb2="00000000"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35"/>
      <w:framePr w:wrap="around" w:vAnchor="text" w:hAnchor="margin" w:xAlign="center" w:y="1"/>
      <w:rPr>
        <w:rStyle w:val="54"/>
      </w:rPr>
    </w:pPr>
    <w:r>
      <w:rPr>
        <w:rStyle w:val="54"/>
      </w:rPr>
      <w:fldChar w:fldCharType="begin"/>
    </w:r>
    <w:r>
      <w:rPr>
        <w:rStyle w:val="54"/>
      </w:rPr>
      <w:instrText xml:space="preserve">PAGE  </w:instrText>
    </w:r>
    <w:r>
      <w:rPr>
        <w:rStyle w:val="54"/>
      </w:rPr>
      <w:fldChar w:fldCharType="separate"/>
    </w:r>
    <w:r>
      <w:rPr>
        <w:rStyle w:val="54"/>
        <w:lang w:val="zh-CN" w:eastAsia="zh-CN"/>
      </w:rPr>
      <w:t>6</w:t>
    </w:r>
    <w:r>
      <w:rPr>
        <w:rStyle w:val="54"/>
      </w:rPr>
      <w:fldChar w:fldCharType="end"/>
    </w:r>
  </w:p>
  <w:p>
    <w:pPr>
      <w:pStyle w:val="3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35"/>
      <w:framePr w:wrap="around" w:vAnchor="text" w:hAnchor="margin" w:xAlign="center" w:y="1"/>
      <w:rPr>
        <w:rStyle w:val="54"/>
      </w:rPr>
    </w:pPr>
    <w:r>
      <w:rPr>
        <w:rStyle w:val="54"/>
      </w:rPr>
      <w:fldChar w:fldCharType="begin"/>
    </w:r>
    <w:r>
      <w:rPr>
        <w:rStyle w:val="54"/>
      </w:rPr>
      <w:instrText xml:space="preserve">PAGE  </w:instrText>
    </w:r>
    <w:r>
      <w:rPr>
        <w:rStyle w:val="54"/>
      </w:rPr>
      <w:fldChar w:fldCharType="end"/>
    </w:r>
  </w:p>
  <w:p>
    <w:pPr>
      <w:pStyle w:val="35"/>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3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78138717">
    <w:nsid w:val="04A84D5D"/>
    <w:multiLevelType w:val="multilevel"/>
    <w:tmpl w:val="04A84D5D"/>
    <w:lvl w:ilvl="0" w:tentative="1">
      <w:start w:val="1"/>
      <w:numFmt w:val="lowerLetter"/>
      <w:lvlText w:val="%1、"/>
      <w:lvlJc w:val="left"/>
      <w:pPr>
        <w:tabs>
          <w:tab w:val="left" w:pos="840"/>
        </w:tabs>
        <w:ind w:left="840" w:hanging="360"/>
      </w:pPr>
      <w:rPr>
        <w:rFonts w:hint="default"/>
      </w:rPr>
    </w:lvl>
    <w:lvl w:ilvl="1" w:tentative="1">
      <w:start w:val="1"/>
      <w:numFmt w:val="lowerLetter"/>
      <w:lvlText w:val="%2)"/>
      <w:lvlJc w:val="left"/>
      <w:pPr>
        <w:tabs>
          <w:tab w:val="left" w:pos="1320"/>
        </w:tabs>
        <w:ind w:left="1320" w:hanging="420"/>
      </w:pPr>
    </w:lvl>
    <w:lvl w:ilvl="2" w:tentative="1">
      <w:start w:val="1"/>
      <w:numFmt w:val="lowerRoman"/>
      <w:lvlText w:val="%3."/>
      <w:lvlJc w:val="right"/>
      <w:pPr>
        <w:tabs>
          <w:tab w:val="left" w:pos="1740"/>
        </w:tabs>
        <w:ind w:left="1740" w:hanging="420"/>
      </w:pPr>
    </w:lvl>
    <w:lvl w:ilvl="3" w:tentative="1">
      <w:start w:val="1"/>
      <w:numFmt w:val="decimal"/>
      <w:pStyle w:val="164"/>
      <w:lvlText w:val="%4."/>
      <w:lvlJc w:val="left"/>
      <w:pPr>
        <w:tabs>
          <w:tab w:val="left" w:pos="2160"/>
        </w:tabs>
        <w:ind w:left="2160" w:hanging="420"/>
      </w:pPr>
    </w:lvl>
    <w:lvl w:ilvl="4" w:tentative="1">
      <w:start w:val="1"/>
      <w:numFmt w:val="lowerLetter"/>
      <w:lvlText w:val="%5)"/>
      <w:lvlJc w:val="left"/>
      <w:pPr>
        <w:tabs>
          <w:tab w:val="left" w:pos="2580"/>
        </w:tabs>
        <w:ind w:left="2580" w:hanging="420"/>
      </w:pPr>
    </w:lvl>
    <w:lvl w:ilvl="5" w:tentative="1">
      <w:start w:val="1"/>
      <w:numFmt w:val="lowerRoman"/>
      <w:lvlText w:val="%6."/>
      <w:lvlJc w:val="right"/>
      <w:pPr>
        <w:tabs>
          <w:tab w:val="left" w:pos="3000"/>
        </w:tabs>
        <w:ind w:left="3000" w:hanging="420"/>
      </w:pPr>
    </w:lvl>
    <w:lvl w:ilvl="6" w:tentative="1">
      <w:start w:val="1"/>
      <w:numFmt w:val="decimal"/>
      <w:lvlText w:val="%7."/>
      <w:lvlJc w:val="left"/>
      <w:pPr>
        <w:tabs>
          <w:tab w:val="left" w:pos="3420"/>
        </w:tabs>
        <w:ind w:left="3420" w:hanging="420"/>
      </w:pPr>
    </w:lvl>
    <w:lvl w:ilvl="7" w:tentative="1">
      <w:start w:val="1"/>
      <w:numFmt w:val="lowerLetter"/>
      <w:lvlText w:val="%8)"/>
      <w:lvlJc w:val="left"/>
      <w:pPr>
        <w:tabs>
          <w:tab w:val="left" w:pos="3840"/>
        </w:tabs>
        <w:ind w:left="3840" w:hanging="420"/>
      </w:pPr>
    </w:lvl>
    <w:lvl w:ilvl="8" w:tentative="1">
      <w:start w:val="1"/>
      <w:numFmt w:val="lowerRoman"/>
      <w:lvlText w:val="%9."/>
      <w:lvlJc w:val="right"/>
      <w:pPr>
        <w:tabs>
          <w:tab w:val="left" w:pos="4260"/>
        </w:tabs>
        <w:ind w:left="4260" w:hanging="420"/>
      </w:pPr>
    </w:lvl>
  </w:abstractNum>
  <w:abstractNum w:abstractNumId="542596280">
    <w:nsid w:val="20575CB8"/>
    <w:multiLevelType w:val="multilevel"/>
    <w:tmpl w:val="20575CB8"/>
    <w:lvl w:ilvl="0" w:tentative="1">
      <w:start w:val="1"/>
      <w:numFmt w:val="decimal"/>
      <w:pStyle w:val="174"/>
      <w:lvlText w:val="(%1)"/>
      <w:lvlJc w:val="left"/>
      <w:pPr>
        <w:tabs>
          <w:tab w:val="left" w:pos="814"/>
        </w:tabs>
        <w:ind w:left="814" w:hanging="360"/>
      </w:pPr>
      <w:rPr>
        <w:rFonts w:hint="default" w:eastAsia="宋体"/>
      </w:rPr>
    </w:lvl>
    <w:lvl w:ilvl="1" w:tentative="1">
      <w:start w:val="1"/>
      <w:numFmt w:val="decimalEnclosedCircle"/>
      <w:lvlText w:val="%2"/>
      <w:lvlJc w:val="left"/>
      <w:pPr>
        <w:tabs>
          <w:tab w:val="left" w:pos="780"/>
        </w:tabs>
        <w:ind w:left="780" w:hanging="360"/>
      </w:pPr>
      <w:rPr>
        <w:rFonts w:hint="eastAsia"/>
      </w:rPr>
    </w:lvl>
    <w:lvl w:ilvl="2" w:tentative="1">
      <w:start w:val="1"/>
      <w:numFmt w:val="decimal"/>
      <w:pStyle w:val="206"/>
      <w:lvlText w:val="(%3)"/>
      <w:lvlJc w:val="left"/>
      <w:pPr>
        <w:tabs>
          <w:tab w:val="left" w:pos="1680"/>
        </w:tabs>
        <w:ind w:left="1680" w:hanging="840"/>
      </w:pPr>
      <w:rPr>
        <w:rFonts w:hint="eastAsia"/>
      </w:rPr>
    </w:lvl>
    <w:lvl w:ilvl="3" w:tentative="1">
      <w:start w:val="1"/>
      <w:numFmt w:val="decimalEnclosedParen"/>
      <w:lvlText w:val="%4"/>
      <w:lvlJc w:val="left"/>
      <w:pPr>
        <w:tabs>
          <w:tab w:val="left" w:pos="1620"/>
        </w:tabs>
        <w:ind w:left="1620" w:hanging="360"/>
      </w:pPr>
      <w:rPr>
        <w:rFonts w:hint="default"/>
      </w:r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657658239">
    <w:nsid w:val="2733117F"/>
    <w:multiLevelType w:val="multilevel"/>
    <w:tmpl w:val="2733117F"/>
    <w:lvl w:ilvl="0" w:tentative="1">
      <w:start w:val="1"/>
      <w:numFmt w:val="decimal"/>
      <w:lvlText w:val="%1"/>
      <w:lvlJc w:val="left"/>
      <w:pPr>
        <w:tabs>
          <w:tab w:val="left" w:pos="432"/>
        </w:tabs>
        <w:ind w:left="432" w:hanging="432"/>
      </w:pPr>
      <w:rPr>
        <w:rFonts w:hint="default" w:ascii="Times New Roman" w:hAnsi="Times New Roman" w:eastAsia="宋体" w:cs="Times New Roman"/>
      </w:rPr>
    </w:lvl>
    <w:lvl w:ilvl="1" w:tentative="1">
      <w:start w:val="1"/>
      <w:numFmt w:val="decimal"/>
      <w:pStyle w:val="187"/>
      <w:lvlText w:val="%1.%2"/>
      <w:lvlJc w:val="left"/>
      <w:pPr>
        <w:tabs>
          <w:tab w:val="left" w:pos="720"/>
        </w:tabs>
        <w:ind w:left="397" w:hanging="397"/>
      </w:pPr>
      <w:rPr>
        <w:rFonts w:hint="default" w:ascii="Times New Roman" w:hAnsi="Times New Roman" w:eastAsia="宋体" w:cs="Times New Roman"/>
      </w:rPr>
    </w:lvl>
    <w:lvl w:ilvl="2" w:tentative="1">
      <w:start w:val="1"/>
      <w:numFmt w:val="decimal"/>
      <w:lvlText w:val="%1.%2.%3"/>
      <w:lvlJc w:val="left"/>
      <w:pPr>
        <w:tabs>
          <w:tab w:val="left" w:pos="1021"/>
        </w:tabs>
        <w:ind w:left="1021" w:hanging="1021"/>
      </w:pPr>
      <w:rPr>
        <w:rFonts w:hint="default" w:ascii="Times New Roman" w:hAnsi="Times New Roman" w:eastAsia="宋体" w:cs="Times New Roman"/>
        <w:b/>
        <w:i w:val="0"/>
        <w:sz w:val="24"/>
        <w:szCs w:val="24"/>
      </w:rPr>
    </w:lvl>
    <w:lvl w:ilvl="3" w:tentative="1">
      <w:start w:val="1"/>
      <w:numFmt w:val="decimal"/>
      <w:lvlText w:val="%1.%2.%3.%4"/>
      <w:lvlJc w:val="left"/>
      <w:pPr>
        <w:tabs>
          <w:tab w:val="left" w:pos="1247"/>
        </w:tabs>
        <w:ind w:left="964" w:hanging="964"/>
      </w:pPr>
      <w:rPr>
        <w:rFonts w:hint="default" w:ascii="Times New Roman" w:hAnsi="Times New Roman" w:eastAsia="宋体" w:cs="Times New Roman"/>
        <w:sz w:val="24"/>
        <w:szCs w:val="24"/>
      </w:rPr>
    </w:lvl>
    <w:lvl w:ilvl="4" w:tentative="1">
      <w:start w:val="1"/>
      <w:numFmt w:val="decimal"/>
      <w:lvlText w:val="%1.%2.%3.%4.%5"/>
      <w:lvlJc w:val="left"/>
      <w:pPr>
        <w:tabs>
          <w:tab w:val="left" w:pos="1008"/>
        </w:tabs>
        <w:ind w:left="1008" w:hanging="1008"/>
      </w:pPr>
      <w:rPr>
        <w:rFonts w:hint="eastAsia"/>
      </w:rPr>
    </w:lvl>
    <w:lvl w:ilvl="5" w:tentative="1">
      <w:start w:val="1"/>
      <w:numFmt w:val="decimal"/>
      <w:lvlText w:val="%1.%2.%3.%4.%5.%6"/>
      <w:lvlJc w:val="left"/>
      <w:pPr>
        <w:tabs>
          <w:tab w:val="left" w:pos="1152"/>
        </w:tabs>
        <w:ind w:left="1152" w:hanging="1152"/>
      </w:pPr>
      <w:rPr>
        <w:rFonts w:hint="eastAsia"/>
      </w:rPr>
    </w:lvl>
    <w:lvl w:ilvl="6" w:tentative="1">
      <w:start w:val="1"/>
      <w:numFmt w:val="decimal"/>
      <w:lvlText w:val="%1.%2.%3.%4.%5.%6.%7"/>
      <w:lvlJc w:val="left"/>
      <w:pPr>
        <w:tabs>
          <w:tab w:val="left" w:pos="1296"/>
        </w:tabs>
        <w:ind w:left="1296" w:hanging="1296"/>
      </w:pPr>
      <w:rPr>
        <w:rFonts w:hint="eastAsia"/>
      </w:rPr>
    </w:lvl>
    <w:lvl w:ilvl="7" w:tentative="1">
      <w:start w:val="1"/>
      <w:numFmt w:val="decimal"/>
      <w:lvlText w:val="%1.%2.%3.%4.%5.%6.%7.%8"/>
      <w:lvlJc w:val="left"/>
      <w:pPr>
        <w:tabs>
          <w:tab w:val="left" w:pos="1440"/>
        </w:tabs>
        <w:ind w:left="1440" w:hanging="1440"/>
      </w:pPr>
      <w:rPr>
        <w:rFonts w:hint="eastAsia"/>
      </w:rPr>
    </w:lvl>
    <w:lvl w:ilvl="8" w:tentative="1">
      <w:start w:val="1"/>
      <w:numFmt w:val="decimal"/>
      <w:lvlText w:val="%1.%2.%3.%4.%5.%6.%7.%8.%9"/>
      <w:lvlJc w:val="left"/>
      <w:pPr>
        <w:tabs>
          <w:tab w:val="left" w:pos="1584"/>
        </w:tabs>
        <w:ind w:left="1584" w:hanging="1584"/>
      </w:pPr>
      <w:rPr>
        <w:rFonts w:hint="eastAsia"/>
      </w:rPr>
    </w:lvl>
  </w:abstractNum>
  <w:abstractNum w:abstractNumId="1753508850">
    <w:nsid w:val="68846BF2"/>
    <w:multiLevelType w:val="multilevel"/>
    <w:tmpl w:val="68846BF2"/>
    <w:lvl w:ilvl="0" w:tentative="1">
      <w:start w:val="1"/>
      <w:numFmt w:val="decimal"/>
      <w:pStyle w:val="259"/>
      <w:lvlText w:val="%1."/>
      <w:lvlJc w:val="left"/>
      <w:pPr>
        <w:tabs>
          <w:tab w:val="left" w:pos="420"/>
        </w:tabs>
        <w:ind w:left="420" w:hanging="420"/>
      </w:pPr>
    </w:lvl>
    <w:lvl w:ilvl="1" w:tentative="1">
      <w:start w:val="1"/>
      <w:numFmt w:val="lowerLetter"/>
      <w:lvlText w:val="%2)"/>
      <w:lvlJc w:val="left"/>
      <w:pPr>
        <w:tabs>
          <w:tab w:val="left" w:pos="840"/>
        </w:tabs>
        <w:ind w:left="840" w:hanging="420"/>
      </w:p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887911886">
    <w:nsid w:val="34EC75CE"/>
    <w:multiLevelType w:val="multilevel"/>
    <w:tmpl w:val="34EC75CE"/>
    <w:lvl w:ilvl="0" w:tentative="1">
      <w:start w:val="1"/>
      <w:numFmt w:val="decimal"/>
      <w:pStyle w:val="18"/>
      <w:lvlText w:val="%1."/>
      <w:lvlJc w:val="left"/>
      <w:pPr>
        <w:tabs>
          <w:tab w:val="left" w:pos="425"/>
        </w:tabs>
        <w:ind w:left="425" w:hanging="425"/>
      </w:pPr>
    </w:lvl>
    <w:lvl w:ilvl="1" w:tentative="1">
      <w:start w:val="1"/>
      <w:numFmt w:val="decimal"/>
      <w:lvlText w:val="%1.%2."/>
      <w:lvlJc w:val="left"/>
      <w:pPr>
        <w:tabs>
          <w:tab w:val="left" w:pos="567"/>
        </w:tabs>
        <w:ind w:left="567" w:hanging="567"/>
      </w:pPr>
    </w:lvl>
    <w:lvl w:ilvl="2" w:tentative="1">
      <w:start w:val="1"/>
      <w:numFmt w:val="decimal"/>
      <w:lvlText w:val="%1.%2.%3."/>
      <w:lvlJc w:val="left"/>
      <w:pPr>
        <w:tabs>
          <w:tab w:val="left" w:pos="709"/>
        </w:tabs>
        <w:ind w:left="709" w:hanging="709"/>
      </w:pPr>
    </w:lvl>
    <w:lvl w:ilvl="3" w:tentative="1">
      <w:start w:val="1"/>
      <w:numFmt w:val="decimal"/>
      <w:pStyle w:val="160"/>
      <w:lvlText w:val="%1.%2.%3.%4."/>
      <w:lvlJc w:val="left"/>
      <w:pPr>
        <w:tabs>
          <w:tab w:val="left" w:pos="851"/>
        </w:tabs>
        <w:ind w:left="851" w:hanging="851"/>
      </w:pPr>
    </w:lvl>
    <w:lvl w:ilvl="4" w:tentative="1">
      <w:start w:val="1"/>
      <w:numFmt w:val="decimal"/>
      <w:lvlText w:val="%1.%2.%3.%4.%5."/>
      <w:lvlJc w:val="left"/>
      <w:pPr>
        <w:tabs>
          <w:tab w:val="left" w:pos="992"/>
        </w:tabs>
        <w:ind w:left="992" w:hanging="992"/>
      </w:pPr>
    </w:lvl>
    <w:lvl w:ilvl="5" w:tentative="1">
      <w:start w:val="1"/>
      <w:numFmt w:val="decimal"/>
      <w:lvlText w:val="%1.%2.%3.%4.%5.%6."/>
      <w:lvlJc w:val="left"/>
      <w:pPr>
        <w:tabs>
          <w:tab w:val="left" w:pos="1134"/>
        </w:tabs>
        <w:ind w:left="1134" w:hanging="1134"/>
      </w:pPr>
    </w:lvl>
    <w:lvl w:ilvl="6" w:tentative="1">
      <w:start w:val="1"/>
      <w:numFmt w:val="decimal"/>
      <w:lvlText w:val="%1.%2.%3.%4.%5.%6.%7."/>
      <w:lvlJc w:val="left"/>
      <w:pPr>
        <w:tabs>
          <w:tab w:val="left" w:pos="1276"/>
        </w:tabs>
        <w:ind w:left="1276" w:hanging="1276"/>
      </w:pPr>
    </w:lvl>
    <w:lvl w:ilvl="7" w:tentative="1">
      <w:start w:val="1"/>
      <w:numFmt w:val="decimal"/>
      <w:lvlText w:val="%1.%2.%3.%4.%5.%6.%7.%8."/>
      <w:lvlJc w:val="left"/>
      <w:pPr>
        <w:tabs>
          <w:tab w:val="left" w:pos="1418"/>
        </w:tabs>
        <w:ind w:left="1418" w:hanging="1418"/>
      </w:pPr>
    </w:lvl>
    <w:lvl w:ilvl="8" w:tentative="1">
      <w:start w:val="1"/>
      <w:numFmt w:val="decimal"/>
      <w:lvlText w:val="%1.%2.%3.%4.%5.%6.%7.%8.%9."/>
      <w:lvlJc w:val="left"/>
      <w:pPr>
        <w:tabs>
          <w:tab w:val="left" w:pos="1559"/>
        </w:tabs>
        <w:ind w:left="1559" w:hanging="1559"/>
      </w:pPr>
    </w:lvl>
  </w:abstractNum>
  <w:abstractNum w:abstractNumId="1780679364">
    <w:nsid w:val="6A2302C4"/>
    <w:multiLevelType w:val="multilevel"/>
    <w:tmpl w:val="6A2302C4"/>
    <w:lvl w:ilvl="0" w:tentative="1">
      <w:start w:val="1"/>
      <w:numFmt w:val="decimal"/>
      <w:lvlText w:val="（%1）"/>
      <w:lvlJc w:val="left"/>
      <w:pPr>
        <w:ind w:left="900" w:hanging="420"/>
      </w:pPr>
      <w:rPr>
        <w:rFonts w:hint="default" w:ascii="Times New Roman" w:hAnsi="Times New Roman"/>
      </w:rPr>
    </w:lvl>
    <w:lvl w:ilvl="1" w:tentative="1">
      <w:start w:val="1"/>
      <w:numFmt w:val="decimal"/>
      <w:suff w:val="nothing"/>
      <w:lvlText w:val="（%2）"/>
      <w:lvlJc w:val="left"/>
      <w:pPr>
        <w:ind w:left="704" w:hanging="420"/>
      </w:pPr>
      <w:rPr>
        <w:rFonts w:hint="default" w:ascii="Times New Roman" w:hAnsi="Times New Roman"/>
      </w:rPr>
    </w:lvl>
    <w:lvl w:ilvl="2" w:tentative="1">
      <w:start w:val="1"/>
      <w:numFmt w:val="decimalEnclosedCircle"/>
      <w:pStyle w:val="211"/>
      <w:lvlText w:val="%3"/>
      <w:lvlJc w:val="left"/>
      <w:pPr>
        <w:ind w:left="1200" w:hanging="360"/>
      </w:pPr>
      <w:rPr>
        <w:rFonts w:hint="default"/>
      </w:r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983388086">
    <w:nsid w:val="3A9D4FB6"/>
    <w:multiLevelType w:val="singleLevel"/>
    <w:tmpl w:val="3A9D4FB6"/>
    <w:lvl w:ilvl="0" w:tentative="1">
      <w:start w:val="1"/>
      <w:numFmt w:val="decimal"/>
      <w:pStyle w:val="184"/>
      <w:lvlText w:val="%1."/>
      <w:lvlJc w:val="left"/>
      <w:pPr>
        <w:tabs>
          <w:tab w:val="left" w:pos="2040"/>
        </w:tabs>
        <w:ind w:left="2040" w:leftChars="800" w:hanging="360" w:hangingChars="200"/>
      </w:pPr>
    </w:lvl>
  </w:abstractNum>
  <w:abstractNum w:abstractNumId="32316478">
    <w:nsid w:val="01ED1C3E"/>
    <w:multiLevelType w:val="multilevel"/>
    <w:tmpl w:val="01ED1C3E"/>
    <w:lvl w:ilvl="0" w:tentative="1">
      <w:start w:val="1"/>
      <w:numFmt w:val="decimal"/>
      <w:pStyle w:val="2"/>
      <w:isLgl/>
      <w:suff w:val="nothing"/>
      <w:lvlText w:val="%1  "/>
      <w:lvlJc w:val="left"/>
      <w:pPr>
        <w:ind w:left="0" w:firstLine="0"/>
      </w:pPr>
      <w:rPr>
        <w:rFonts w:hint="eastAsia"/>
      </w:rPr>
    </w:lvl>
    <w:lvl w:ilvl="1" w:tentative="1">
      <w:start w:val="1"/>
      <w:numFmt w:val="decimal"/>
      <w:pStyle w:val="3"/>
      <w:isLgl/>
      <w:suff w:val="nothing"/>
      <w:lvlText w:val="%1.%2  "/>
      <w:lvlJc w:val="left"/>
      <w:pPr>
        <w:ind w:left="426" w:firstLine="0"/>
      </w:pPr>
      <w:rPr>
        <w:rFonts w:hint="eastAsia"/>
        <w:b w:val="0"/>
      </w:rPr>
    </w:lvl>
    <w:lvl w:ilvl="2" w:tentative="1">
      <w:start w:val="1"/>
      <w:numFmt w:val="decimal"/>
      <w:pStyle w:val="4"/>
      <w:isLgl/>
      <w:suff w:val="nothing"/>
      <w:lvlText w:val="%1.%2.%3  "/>
      <w:lvlJc w:val="left"/>
      <w:pPr>
        <w:ind w:left="0" w:firstLine="0"/>
      </w:pPr>
      <w:rPr>
        <w:rFonts w:hint="eastAsia"/>
      </w:rPr>
    </w:lvl>
    <w:lvl w:ilvl="3" w:tentative="1">
      <w:start w:val="1"/>
      <w:numFmt w:val="decimal"/>
      <w:pStyle w:val="5"/>
      <w:isLgl/>
      <w:suff w:val="nothing"/>
      <w:lvlText w:val="%1.%2.%3.%4  "/>
      <w:lvlJc w:val="left"/>
      <w:pPr>
        <w:ind w:left="0" w:firstLine="0"/>
      </w:pPr>
      <w:rPr>
        <w:rFonts w:hint="default" w:ascii="Times New Roman" w:hAnsi="Times New Roman" w:eastAsia="宋体" w:cs="Times New Roman"/>
        <w:b w:val="0"/>
        <w:sz w:val="24"/>
        <w:szCs w:val="24"/>
      </w:rPr>
    </w:lvl>
    <w:lvl w:ilvl="4" w:tentative="1">
      <w:start w:val="1"/>
      <w:numFmt w:val="decimal"/>
      <w:isLgl/>
      <w:suff w:val="nothing"/>
      <w:lvlText w:val="%1.%2.%3.%4.%5  "/>
      <w:lvlJc w:val="left"/>
      <w:pPr>
        <w:ind w:left="0" w:firstLine="0"/>
      </w:pPr>
      <w:rPr>
        <w:rFonts w:hint="eastAsia"/>
      </w:rPr>
    </w:lvl>
    <w:lvl w:ilvl="5" w:tentative="1">
      <w:start w:val="1"/>
      <w:numFmt w:val="decimal"/>
      <w:isLgl/>
      <w:suff w:val="nothing"/>
      <w:lvlText w:val="%1.%2.%3.%4.%5.%6  "/>
      <w:lvlJc w:val="left"/>
      <w:pPr>
        <w:ind w:left="0" w:firstLine="0"/>
      </w:pPr>
      <w:rPr>
        <w:rFonts w:hint="eastAsia"/>
      </w:rPr>
    </w:lvl>
    <w:lvl w:ilvl="6" w:tentative="1">
      <w:start w:val="1"/>
      <w:numFmt w:val="decimal"/>
      <w:isLgl/>
      <w:suff w:val="nothing"/>
      <w:lvlText w:val="%1.%2.%3.%4.%5.%6.%7  "/>
      <w:lvlJc w:val="left"/>
      <w:pPr>
        <w:ind w:left="0" w:firstLine="0"/>
      </w:pPr>
      <w:rPr>
        <w:rFonts w:hint="eastAsia"/>
      </w:rPr>
    </w:lvl>
    <w:lvl w:ilvl="7" w:tentative="1">
      <w:start w:val="1"/>
      <w:numFmt w:val="decimal"/>
      <w:isLgl/>
      <w:suff w:val="nothing"/>
      <w:lvlText w:val="%1.%2.%3.%4.%5.%6.%7.%8  "/>
      <w:lvlJc w:val="left"/>
      <w:pPr>
        <w:ind w:left="0" w:firstLine="0"/>
      </w:pPr>
      <w:rPr>
        <w:rFonts w:hint="eastAsia"/>
      </w:rPr>
    </w:lvl>
    <w:lvl w:ilvl="8" w:tentative="1">
      <w:start w:val="1"/>
      <w:numFmt w:val="decimal"/>
      <w:isLgl/>
      <w:suff w:val="nothing"/>
      <w:lvlText w:val="%1.%2.%3.%4.%5.%6.%7.%8.%9  "/>
      <w:lvlJc w:val="left"/>
      <w:pPr>
        <w:ind w:left="0" w:firstLine="0"/>
      </w:pPr>
      <w:rPr>
        <w:rFonts w:hint="eastAsia"/>
      </w:rPr>
    </w:lvl>
  </w:abstractNum>
  <w:abstractNum w:abstractNumId="1538086547">
    <w:nsid w:val="5BAD5693"/>
    <w:multiLevelType w:val="multilevel"/>
    <w:tmpl w:val="5BAD5693"/>
    <w:lvl w:ilvl="0" w:tentative="1">
      <w:start w:val="2"/>
      <w:numFmt w:val="decimalEnclosedCircle"/>
      <w:pStyle w:val="185"/>
      <w:lvlText w:val="%1"/>
      <w:lvlJc w:val="left"/>
      <w:pPr>
        <w:ind w:left="1070" w:hanging="360"/>
      </w:pPr>
      <w:rPr>
        <w:rFonts w:hint="default" w:ascii="Times New Roman" w:hAnsi="Times New Roman"/>
      </w:rPr>
    </w:lvl>
    <w:lvl w:ilvl="1" w:tentative="1">
      <w:start w:val="1"/>
      <w:numFmt w:val="lowerLetter"/>
      <w:lvlText w:val="%2)"/>
      <w:lvlJc w:val="left"/>
      <w:pPr>
        <w:ind w:left="1550" w:hanging="420"/>
      </w:pPr>
    </w:lvl>
    <w:lvl w:ilvl="2" w:tentative="1">
      <w:start w:val="1"/>
      <w:numFmt w:val="lowerRoman"/>
      <w:lvlText w:val="%3."/>
      <w:lvlJc w:val="right"/>
      <w:pPr>
        <w:ind w:left="1970" w:hanging="420"/>
      </w:pPr>
    </w:lvl>
    <w:lvl w:ilvl="3" w:tentative="1">
      <w:start w:val="1"/>
      <w:numFmt w:val="decimal"/>
      <w:lvlText w:val="%4."/>
      <w:lvlJc w:val="left"/>
      <w:pPr>
        <w:ind w:left="2390" w:hanging="420"/>
      </w:pPr>
    </w:lvl>
    <w:lvl w:ilvl="4" w:tentative="1">
      <w:start w:val="1"/>
      <w:numFmt w:val="lowerLetter"/>
      <w:lvlText w:val="%5)"/>
      <w:lvlJc w:val="left"/>
      <w:pPr>
        <w:ind w:left="2810" w:hanging="420"/>
      </w:pPr>
    </w:lvl>
    <w:lvl w:ilvl="5" w:tentative="1">
      <w:start w:val="1"/>
      <w:numFmt w:val="lowerRoman"/>
      <w:lvlText w:val="%6."/>
      <w:lvlJc w:val="right"/>
      <w:pPr>
        <w:ind w:left="3230" w:hanging="420"/>
      </w:pPr>
    </w:lvl>
    <w:lvl w:ilvl="6" w:tentative="1">
      <w:start w:val="1"/>
      <w:numFmt w:val="decimal"/>
      <w:lvlText w:val="%7."/>
      <w:lvlJc w:val="left"/>
      <w:pPr>
        <w:ind w:left="3650" w:hanging="420"/>
      </w:pPr>
    </w:lvl>
    <w:lvl w:ilvl="7" w:tentative="1">
      <w:start w:val="1"/>
      <w:numFmt w:val="lowerLetter"/>
      <w:lvlText w:val="%8)"/>
      <w:lvlJc w:val="left"/>
      <w:pPr>
        <w:ind w:left="4070" w:hanging="420"/>
      </w:pPr>
    </w:lvl>
    <w:lvl w:ilvl="8" w:tentative="1">
      <w:start w:val="1"/>
      <w:numFmt w:val="lowerRoman"/>
      <w:lvlText w:val="%9."/>
      <w:lvlJc w:val="right"/>
      <w:pPr>
        <w:ind w:left="4490" w:hanging="420"/>
      </w:pPr>
    </w:lvl>
  </w:abstractNum>
  <w:abstractNum w:abstractNumId="4294967171">
    <w:nsid w:val="FFFFFF83"/>
    <w:multiLevelType w:val="singleLevel"/>
    <w:tmpl w:val="FFFFFF83"/>
    <w:lvl w:ilvl="0" w:tentative="1">
      <w:start w:val="1"/>
      <w:numFmt w:val="bullet"/>
      <w:pStyle w:val="179"/>
      <w:lvlText w:val=""/>
      <w:lvlJc w:val="left"/>
      <w:pPr>
        <w:tabs>
          <w:tab w:val="left" w:pos="780"/>
        </w:tabs>
        <w:ind w:left="780" w:leftChars="200" w:hanging="360" w:hangingChars="200"/>
      </w:pPr>
      <w:rPr>
        <w:rFonts w:hint="default" w:ascii="Wingdings" w:hAnsi="Wingdings"/>
      </w:rPr>
    </w:lvl>
  </w:abstractNum>
  <w:abstractNum w:abstractNumId="1409575006">
    <w:nsid w:val="5404685E"/>
    <w:multiLevelType w:val="multilevel"/>
    <w:tmpl w:val="5404685E"/>
    <w:lvl w:ilvl="0" w:tentative="1">
      <w:start w:val="3"/>
      <w:numFmt w:val="decimal"/>
      <w:pStyle w:val="257"/>
      <w:lvlText w:val="（%1）"/>
      <w:lvlJc w:val="left"/>
      <w:pPr>
        <w:tabs>
          <w:tab w:val="left" w:pos="1200"/>
        </w:tabs>
        <w:ind w:left="1200" w:hanging="720"/>
      </w:pPr>
      <w:rPr>
        <w:rFonts w:hint="default" w:hAnsi="宋体"/>
        <w:sz w:val="21"/>
      </w:rPr>
    </w:lvl>
    <w:lvl w:ilvl="1" w:tentative="1">
      <w:start w:val="1"/>
      <w:numFmt w:val="lowerLetter"/>
      <w:lvlText w:val="%2)"/>
      <w:lvlJc w:val="left"/>
      <w:pPr>
        <w:tabs>
          <w:tab w:val="left" w:pos="1320"/>
        </w:tabs>
        <w:ind w:left="1320" w:hanging="420"/>
      </w:pPr>
    </w:lvl>
    <w:lvl w:ilvl="2" w:tentative="1">
      <w:start w:val="1"/>
      <w:numFmt w:val="lowerRoman"/>
      <w:lvlText w:val="%3."/>
      <w:lvlJc w:val="right"/>
      <w:pPr>
        <w:tabs>
          <w:tab w:val="left" w:pos="1740"/>
        </w:tabs>
        <w:ind w:left="1740" w:hanging="420"/>
      </w:pPr>
    </w:lvl>
    <w:lvl w:ilvl="3" w:tentative="1">
      <w:start w:val="1"/>
      <w:numFmt w:val="decimal"/>
      <w:pStyle w:val="258"/>
      <w:lvlText w:val="%4."/>
      <w:lvlJc w:val="left"/>
      <w:pPr>
        <w:tabs>
          <w:tab w:val="left" w:pos="2160"/>
        </w:tabs>
        <w:ind w:left="2160" w:hanging="420"/>
      </w:pPr>
    </w:lvl>
    <w:lvl w:ilvl="4" w:tentative="1">
      <w:start w:val="1"/>
      <w:numFmt w:val="lowerLetter"/>
      <w:lvlText w:val="%5)"/>
      <w:lvlJc w:val="left"/>
      <w:pPr>
        <w:tabs>
          <w:tab w:val="left" w:pos="2580"/>
        </w:tabs>
        <w:ind w:left="2580" w:hanging="420"/>
      </w:pPr>
    </w:lvl>
    <w:lvl w:ilvl="5" w:tentative="1">
      <w:start w:val="1"/>
      <w:numFmt w:val="lowerRoman"/>
      <w:lvlText w:val="%6."/>
      <w:lvlJc w:val="right"/>
      <w:pPr>
        <w:tabs>
          <w:tab w:val="left" w:pos="3000"/>
        </w:tabs>
        <w:ind w:left="3000" w:hanging="420"/>
      </w:pPr>
    </w:lvl>
    <w:lvl w:ilvl="6" w:tentative="1">
      <w:start w:val="1"/>
      <w:numFmt w:val="decimal"/>
      <w:lvlText w:val="%7."/>
      <w:lvlJc w:val="left"/>
      <w:pPr>
        <w:tabs>
          <w:tab w:val="left" w:pos="3420"/>
        </w:tabs>
        <w:ind w:left="3420" w:hanging="420"/>
      </w:pPr>
    </w:lvl>
    <w:lvl w:ilvl="7" w:tentative="1">
      <w:start w:val="1"/>
      <w:numFmt w:val="lowerLetter"/>
      <w:lvlText w:val="%8)"/>
      <w:lvlJc w:val="left"/>
      <w:pPr>
        <w:tabs>
          <w:tab w:val="left" w:pos="3840"/>
        </w:tabs>
        <w:ind w:left="3840" w:hanging="420"/>
      </w:pPr>
    </w:lvl>
    <w:lvl w:ilvl="8" w:tentative="1">
      <w:start w:val="1"/>
      <w:numFmt w:val="lowerRoman"/>
      <w:lvlText w:val="%9."/>
      <w:lvlJc w:val="right"/>
      <w:pPr>
        <w:tabs>
          <w:tab w:val="left" w:pos="4260"/>
        </w:tabs>
        <w:ind w:left="4260" w:hanging="420"/>
      </w:pPr>
    </w:lvl>
  </w:abstractNum>
  <w:num w:numId="1">
    <w:abstractNumId w:val="887911886"/>
  </w:num>
  <w:num w:numId="2">
    <w:abstractNumId w:val="78138717"/>
  </w:num>
  <w:num w:numId="3">
    <w:abstractNumId w:val="542596280"/>
  </w:num>
  <w:num w:numId="4">
    <w:abstractNumId w:val="4294967171"/>
  </w:num>
  <w:num w:numId="5">
    <w:abstractNumId w:val="983388086"/>
  </w:num>
  <w:num w:numId="6">
    <w:abstractNumId w:val="1538086547"/>
  </w:num>
  <w:num w:numId="7">
    <w:abstractNumId w:val="657658239"/>
  </w:num>
  <w:num w:numId="8">
    <w:abstractNumId w:val="32316478"/>
  </w:num>
  <w:num w:numId="9">
    <w:abstractNumId w:val="1780679364"/>
  </w:num>
  <w:num w:numId="10">
    <w:abstractNumId w:val="1409575006"/>
  </w:num>
  <w:num w:numId="11">
    <w:abstractNumId w:val="175350885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hyphenationZone w:val="36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A03"/>
    <w:rsid w:val="000000C8"/>
    <w:rsid w:val="00001864"/>
    <w:rsid w:val="0000219C"/>
    <w:rsid w:val="00003D64"/>
    <w:rsid w:val="00004717"/>
    <w:rsid w:val="00011333"/>
    <w:rsid w:val="000123BA"/>
    <w:rsid w:val="000146C8"/>
    <w:rsid w:val="000151DA"/>
    <w:rsid w:val="00015353"/>
    <w:rsid w:val="00022030"/>
    <w:rsid w:val="00023795"/>
    <w:rsid w:val="0002405C"/>
    <w:rsid w:val="00024EA9"/>
    <w:rsid w:val="00025807"/>
    <w:rsid w:val="00025D16"/>
    <w:rsid w:val="00033E13"/>
    <w:rsid w:val="00033EBD"/>
    <w:rsid w:val="000344FF"/>
    <w:rsid w:val="0003484C"/>
    <w:rsid w:val="00035556"/>
    <w:rsid w:val="0004204A"/>
    <w:rsid w:val="00045843"/>
    <w:rsid w:val="00046428"/>
    <w:rsid w:val="00046508"/>
    <w:rsid w:val="000478B3"/>
    <w:rsid w:val="000501C0"/>
    <w:rsid w:val="00050887"/>
    <w:rsid w:val="00051761"/>
    <w:rsid w:val="00052599"/>
    <w:rsid w:val="00052ABA"/>
    <w:rsid w:val="00053DFE"/>
    <w:rsid w:val="000540BE"/>
    <w:rsid w:val="000540E6"/>
    <w:rsid w:val="00054245"/>
    <w:rsid w:val="00054639"/>
    <w:rsid w:val="00054DA8"/>
    <w:rsid w:val="000565C1"/>
    <w:rsid w:val="00057B8B"/>
    <w:rsid w:val="00060006"/>
    <w:rsid w:val="000604BE"/>
    <w:rsid w:val="00060B22"/>
    <w:rsid w:val="00061BFF"/>
    <w:rsid w:val="000632BE"/>
    <w:rsid w:val="000651ED"/>
    <w:rsid w:val="00065529"/>
    <w:rsid w:val="000671A1"/>
    <w:rsid w:val="000673F6"/>
    <w:rsid w:val="00070F8A"/>
    <w:rsid w:val="00072096"/>
    <w:rsid w:val="0007409C"/>
    <w:rsid w:val="00075392"/>
    <w:rsid w:val="000757E0"/>
    <w:rsid w:val="00077DA6"/>
    <w:rsid w:val="00080982"/>
    <w:rsid w:val="0008289B"/>
    <w:rsid w:val="00083970"/>
    <w:rsid w:val="00083BAC"/>
    <w:rsid w:val="00086061"/>
    <w:rsid w:val="000868FF"/>
    <w:rsid w:val="000874E6"/>
    <w:rsid w:val="0008790B"/>
    <w:rsid w:val="00087BFC"/>
    <w:rsid w:val="0009396D"/>
    <w:rsid w:val="00094471"/>
    <w:rsid w:val="00095570"/>
    <w:rsid w:val="000A0642"/>
    <w:rsid w:val="000A1391"/>
    <w:rsid w:val="000A4DF1"/>
    <w:rsid w:val="000A526D"/>
    <w:rsid w:val="000B0076"/>
    <w:rsid w:val="000B0BC0"/>
    <w:rsid w:val="000B2216"/>
    <w:rsid w:val="000B2444"/>
    <w:rsid w:val="000B292E"/>
    <w:rsid w:val="000B2E61"/>
    <w:rsid w:val="000B5664"/>
    <w:rsid w:val="000B5665"/>
    <w:rsid w:val="000B647D"/>
    <w:rsid w:val="000B719C"/>
    <w:rsid w:val="000B75CC"/>
    <w:rsid w:val="000C052F"/>
    <w:rsid w:val="000C07F8"/>
    <w:rsid w:val="000C3B73"/>
    <w:rsid w:val="000C3CC2"/>
    <w:rsid w:val="000D1BB0"/>
    <w:rsid w:val="000D287B"/>
    <w:rsid w:val="000D6750"/>
    <w:rsid w:val="000D677C"/>
    <w:rsid w:val="000D6B22"/>
    <w:rsid w:val="000D6EEB"/>
    <w:rsid w:val="000D773A"/>
    <w:rsid w:val="000D7998"/>
    <w:rsid w:val="000D7C53"/>
    <w:rsid w:val="000E03C3"/>
    <w:rsid w:val="000E085C"/>
    <w:rsid w:val="000E0DEE"/>
    <w:rsid w:val="000E1673"/>
    <w:rsid w:val="000E1A5D"/>
    <w:rsid w:val="000E1BEC"/>
    <w:rsid w:val="000E2B03"/>
    <w:rsid w:val="000E301D"/>
    <w:rsid w:val="000E3293"/>
    <w:rsid w:val="000E6DC3"/>
    <w:rsid w:val="000F16BE"/>
    <w:rsid w:val="000F2B7C"/>
    <w:rsid w:val="000F46CE"/>
    <w:rsid w:val="000F4DAE"/>
    <w:rsid w:val="00100346"/>
    <w:rsid w:val="001011D6"/>
    <w:rsid w:val="001019FF"/>
    <w:rsid w:val="00103C3C"/>
    <w:rsid w:val="00105F4F"/>
    <w:rsid w:val="001070DC"/>
    <w:rsid w:val="00107BEA"/>
    <w:rsid w:val="00107C23"/>
    <w:rsid w:val="001100F4"/>
    <w:rsid w:val="001114FA"/>
    <w:rsid w:val="00113B2E"/>
    <w:rsid w:val="00113ECC"/>
    <w:rsid w:val="0011447E"/>
    <w:rsid w:val="00115AD3"/>
    <w:rsid w:val="001209B3"/>
    <w:rsid w:val="00121756"/>
    <w:rsid w:val="00121A51"/>
    <w:rsid w:val="00124BC7"/>
    <w:rsid w:val="00124C1C"/>
    <w:rsid w:val="00124F52"/>
    <w:rsid w:val="00126A24"/>
    <w:rsid w:val="00127259"/>
    <w:rsid w:val="001277BB"/>
    <w:rsid w:val="00131AF6"/>
    <w:rsid w:val="00131E86"/>
    <w:rsid w:val="001324DA"/>
    <w:rsid w:val="00133591"/>
    <w:rsid w:val="00133A10"/>
    <w:rsid w:val="0013530B"/>
    <w:rsid w:val="001354FF"/>
    <w:rsid w:val="00135D72"/>
    <w:rsid w:val="00136B16"/>
    <w:rsid w:val="0014258B"/>
    <w:rsid w:val="001425C2"/>
    <w:rsid w:val="0014447B"/>
    <w:rsid w:val="00144962"/>
    <w:rsid w:val="001449E3"/>
    <w:rsid w:val="00144BA5"/>
    <w:rsid w:val="00144E57"/>
    <w:rsid w:val="0014547E"/>
    <w:rsid w:val="00146F7B"/>
    <w:rsid w:val="00147E38"/>
    <w:rsid w:val="001509C4"/>
    <w:rsid w:val="00153091"/>
    <w:rsid w:val="001538A2"/>
    <w:rsid w:val="0015456F"/>
    <w:rsid w:val="0015480F"/>
    <w:rsid w:val="001555B3"/>
    <w:rsid w:val="00155C01"/>
    <w:rsid w:val="00160318"/>
    <w:rsid w:val="0016195A"/>
    <w:rsid w:val="00162F3E"/>
    <w:rsid w:val="001630F5"/>
    <w:rsid w:val="0016526E"/>
    <w:rsid w:val="0016531B"/>
    <w:rsid w:val="00165870"/>
    <w:rsid w:val="00166A77"/>
    <w:rsid w:val="00167EFD"/>
    <w:rsid w:val="00171447"/>
    <w:rsid w:val="00172CF2"/>
    <w:rsid w:val="0017365A"/>
    <w:rsid w:val="00175316"/>
    <w:rsid w:val="00175D01"/>
    <w:rsid w:val="00176DA2"/>
    <w:rsid w:val="00176EE8"/>
    <w:rsid w:val="001775D8"/>
    <w:rsid w:val="001779BC"/>
    <w:rsid w:val="00177DB4"/>
    <w:rsid w:val="001802E3"/>
    <w:rsid w:val="00180629"/>
    <w:rsid w:val="001817A1"/>
    <w:rsid w:val="00181954"/>
    <w:rsid w:val="001836CF"/>
    <w:rsid w:val="0018469E"/>
    <w:rsid w:val="0018483D"/>
    <w:rsid w:val="00186D71"/>
    <w:rsid w:val="001872D8"/>
    <w:rsid w:val="00190B64"/>
    <w:rsid w:val="0019102F"/>
    <w:rsid w:val="00192A74"/>
    <w:rsid w:val="00192AEE"/>
    <w:rsid w:val="00194588"/>
    <w:rsid w:val="001956CD"/>
    <w:rsid w:val="00196387"/>
    <w:rsid w:val="001977A4"/>
    <w:rsid w:val="001A0775"/>
    <w:rsid w:val="001A1409"/>
    <w:rsid w:val="001A2806"/>
    <w:rsid w:val="001A3A01"/>
    <w:rsid w:val="001A623A"/>
    <w:rsid w:val="001A6D8C"/>
    <w:rsid w:val="001B0607"/>
    <w:rsid w:val="001B0787"/>
    <w:rsid w:val="001B07F7"/>
    <w:rsid w:val="001B08F6"/>
    <w:rsid w:val="001B1352"/>
    <w:rsid w:val="001B1EA3"/>
    <w:rsid w:val="001B32F3"/>
    <w:rsid w:val="001B6FCA"/>
    <w:rsid w:val="001C00EC"/>
    <w:rsid w:val="001C1534"/>
    <w:rsid w:val="001C2E4F"/>
    <w:rsid w:val="001C2F57"/>
    <w:rsid w:val="001C4353"/>
    <w:rsid w:val="001C4DB2"/>
    <w:rsid w:val="001C61FA"/>
    <w:rsid w:val="001C713A"/>
    <w:rsid w:val="001C7D4D"/>
    <w:rsid w:val="001D0404"/>
    <w:rsid w:val="001D1C4E"/>
    <w:rsid w:val="001D2CD5"/>
    <w:rsid w:val="001D31CA"/>
    <w:rsid w:val="001D4B4E"/>
    <w:rsid w:val="001D61DE"/>
    <w:rsid w:val="001D6F16"/>
    <w:rsid w:val="001E02F0"/>
    <w:rsid w:val="001E0BFE"/>
    <w:rsid w:val="001E1C13"/>
    <w:rsid w:val="001E1DD3"/>
    <w:rsid w:val="001E33E0"/>
    <w:rsid w:val="001E3CD6"/>
    <w:rsid w:val="001E4571"/>
    <w:rsid w:val="001E541C"/>
    <w:rsid w:val="001E56BB"/>
    <w:rsid w:val="001E781D"/>
    <w:rsid w:val="001F0946"/>
    <w:rsid w:val="001F1240"/>
    <w:rsid w:val="001F1A71"/>
    <w:rsid w:val="001F2E00"/>
    <w:rsid w:val="001F4A63"/>
    <w:rsid w:val="001F5DE4"/>
    <w:rsid w:val="001F6E04"/>
    <w:rsid w:val="001F761A"/>
    <w:rsid w:val="0020071C"/>
    <w:rsid w:val="002024B6"/>
    <w:rsid w:val="00202FE9"/>
    <w:rsid w:val="0020305A"/>
    <w:rsid w:val="00204C00"/>
    <w:rsid w:val="002051B6"/>
    <w:rsid w:val="002059D3"/>
    <w:rsid w:val="00206038"/>
    <w:rsid w:val="0020613F"/>
    <w:rsid w:val="002067F8"/>
    <w:rsid w:val="00206898"/>
    <w:rsid w:val="00206D77"/>
    <w:rsid w:val="00207858"/>
    <w:rsid w:val="00207C50"/>
    <w:rsid w:val="00211350"/>
    <w:rsid w:val="00212187"/>
    <w:rsid w:val="002127AB"/>
    <w:rsid w:val="002144B6"/>
    <w:rsid w:val="002156A2"/>
    <w:rsid w:val="002167F7"/>
    <w:rsid w:val="002169E8"/>
    <w:rsid w:val="0022092E"/>
    <w:rsid w:val="00221093"/>
    <w:rsid w:val="002236A9"/>
    <w:rsid w:val="002250FD"/>
    <w:rsid w:val="002272B6"/>
    <w:rsid w:val="00227431"/>
    <w:rsid w:val="0023051B"/>
    <w:rsid w:val="00232152"/>
    <w:rsid w:val="002321DA"/>
    <w:rsid w:val="00233AA1"/>
    <w:rsid w:val="00233C1C"/>
    <w:rsid w:val="00234039"/>
    <w:rsid w:val="00235B56"/>
    <w:rsid w:val="0023620E"/>
    <w:rsid w:val="00236B44"/>
    <w:rsid w:val="00236C62"/>
    <w:rsid w:val="0024109E"/>
    <w:rsid w:val="00241251"/>
    <w:rsid w:val="0024278C"/>
    <w:rsid w:val="00242C61"/>
    <w:rsid w:val="00242EA0"/>
    <w:rsid w:val="002471DF"/>
    <w:rsid w:val="0024754D"/>
    <w:rsid w:val="00250A2B"/>
    <w:rsid w:val="00250BFE"/>
    <w:rsid w:val="002517FC"/>
    <w:rsid w:val="00252444"/>
    <w:rsid w:val="002526D7"/>
    <w:rsid w:val="0025381B"/>
    <w:rsid w:val="00254D2B"/>
    <w:rsid w:val="00256A59"/>
    <w:rsid w:val="0025740A"/>
    <w:rsid w:val="00257B34"/>
    <w:rsid w:val="002603D6"/>
    <w:rsid w:val="00260C78"/>
    <w:rsid w:val="002613FB"/>
    <w:rsid w:val="002625E1"/>
    <w:rsid w:val="00262F0C"/>
    <w:rsid w:val="0026355B"/>
    <w:rsid w:val="00265686"/>
    <w:rsid w:val="00265740"/>
    <w:rsid w:val="00272C9B"/>
    <w:rsid w:val="00274BCE"/>
    <w:rsid w:val="00274C34"/>
    <w:rsid w:val="00275FC9"/>
    <w:rsid w:val="00276481"/>
    <w:rsid w:val="0027732C"/>
    <w:rsid w:val="00277EF5"/>
    <w:rsid w:val="00281C83"/>
    <w:rsid w:val="002822C1"/>
    <w:rsid w:val="00283254"/>
    <w:rsid w:val="00283544"/>
    <w:rsid w:val="002845FA"/>
    <w:rsid w:val="00285401"/>
    <w:rsid w:val="002861C4"/>
    <w:rsid w:val="00287096"/>
    <w:rsid w:val="00287F02"/>
    <w:rsid w:val="00290758"/>
    <w:rsid w:val="00290932"/>
    <w:rsid w:val="00292ABC"/>
    <w:rsid w:val="00292BE2"/>
    <w:rsid w:val="00292EDB"/>
    <w:rsid w:val="002938A8"/>
    <w:rsid w:val="00294990"/>
    <w:rsid w:val="00295A39"/>
    <w:rsid w:val="0029612F"/>
    <w:rsid w:val="0029623A"/>
    <w:rsid w:val="0029691E"/>
    <w:rsid w:val="00297AA9"/>
    <w:rsid w:val="002A0AF7"/>
    <w:rsid w:val="002A111A"/>
    <w:rsid w:val="002A1962"/>
    <w:rsid w:val="002A20AD"/>
    <w:rsid w:val="002A294B"/>
    <w:rsid w:val="002A3440"/>
    <w:rsid w:val="002A454F"/>
    <w:rsid w:val="002A6795"/>
    <w:rsid w:val="002A6D61"/>
    <w:rsid w:val="002A7598"/>
    <w:rsid w:val="002B0B86"/>
    <w:rsid w:val="002B1050"/>
    <w:rsid w:val="002B2405"/>
    <w:rsid w:val="002B2F61"/>
    <w:rsid w:val="002B392C"/>
    <w:rsid w:val="002B6791"/>
    <w:rsid w:val="002B769E"/>
    <w:rsid w:val="002B78B1"/>
    <w:rsid w:val="002C04D4"/>
    <w:rsid w:val="002C078C"/>
    <w:rsid w:val="002C08C9"/>
    <w:rsid w:val="002C0E29"/>
    <w:rsid w:val="002C0E91"/>
    <w:rsid w:val="002C1189"/>
    <w:rsid w:val="002C20C6"/>
    <w:rsid w:val="002C2489"/>
    <w:rsid w:val="002C335E"/>
    <w:rsid w:val="002C6DB7"/>
    <w:rsid w:val="002D2798"/>
    <w:rsid w:val="002D4928"/>
    <w:rsid w:val="002D5518"/>
    <w:rsid w:val="002D6AA9"/>
    <w:rsid w:val="002E003D"/>
    <w:rsid w:val="002E0DCF"/>
    <w:rsid w:val="002E0E63"/>
    <w:rsid w:val="002E14B4"/>
    <w:rsid w:val="002E1E39"/>
    <w:rsid w:val="002E3104"/>
    <w:rsid w:val="002E35DF"/>
    <w:rsid w:val="002E4DE8"/>
    <w:rsid w:val="002E562E"/>
    <w:rsid w:val="002E6225"/>
    <w:rsid w:val="002E63CC"/>
    <w:rsid w:val="002E7E87"/>
    <w:rsid w:val="002F219F"/>
    <w:rsid w:val="002F2F73"/>
    <w:rsid w:val="002F3CE3"/>
    <w:rsid w:val="002F4A87"/>
    <w:rsid w:val="002F4E42"/>
    <w:rsid w:val="002F719D"/>
    <w:rsid w:val="002F75FD"/>
    <w:rsid w:val="002F761D"/>
    <w:rsid w:val="002F78AD"/>
    <w:rsid w:val="002F7C61"/>
    <w:rsid w:val="00302131"/>
    <w:rsid w:val="00304646"/>
    <w:rsid w:val="00306B25"/>
    <w:rsid w:val="00307A2F"/>
    <w:rsid w:val="003108FE"/>
    <w:rsid w:val="00311E10"/>
    <w:rsid w:val="00313ADF"/>
    <w:rsid w:val="00313CB1"/>
    <w:rsid w:val="00313E74"/>
    <w:rsid w:val="00316750"/>
    <w:rsid w:val="003169CC"/>
    <w:rsid w:val="0031748D"/>
    <w:rsid w:val="00320146"/>
    <w:rsid w:val="00321C18"/>
    <w:rsid w:val="00321FAF"/>
    <w:rsid w:val="003222DA"/>
    <w:rsid w:val="00322E24"/>
    <w:rsid w:val="00323244"/>
    <w:rsid w:val="003242B5"/>
    <w:rsid w:val="0032459D"/>
    <w:rsid w:val="0032530B"/>
    <w:rsid w:val="00326B03"/>
    <w:rsid w:val="00330420"/>
    <w:rsid w:val="003305BE"/>
    <w:rsid w:val="0033110B"/>
    <w:rsid w:val="003339EA"/>
    <w:rsid w:val="003343D7"/>
    <w:rsid w:val="00334AA1"/>
    <w:rsid w:val="00335249"/>
    <w:rsid w:val="00336997"/>
    <w:rsid w:val="00337114"/>
    <w:rsid w:val="00340383"/>
    <w:rsid w:val="00340707"/>
    <w:rsid w:val="003428A8"/>
    <w:rsid w:val="00343126"/>
    <w:rsid w:val="0034312A"/>
    <w:rsid w:val="00344CF3"/>
    <w:rsid w:val="00346FCF"/>
    <w:rsid w:val="003471B1"/>
    <w:rsid w:val="003520AB"/>
    <w:rsid w:val="00354425"/>
    <w:rsid w:val="00354919"/>
    <w:rsid w:val="00360B1B"/>
    <w:rsid w:val="00360D29"/>
    <w:rsid w:val="00361831"/>
    <w:rsid w:val="00363B0A"/>
    <w:rsid w:val="00365B92"/>
    <w:rsid w:val="00366DAD"/>
    <w:rsid w:val="00370033"/>
    <w:rsid w:val="003700EF"/>
    <w:rsid w:val="00371164"/>
    <w:rsid w:val="00371D53"/>
    <w:rsid w:val="00372AB1"/>
    <w:rsid w:val="00372EAA"/>
    <w:rsid w:val="0037321E"/>
    <w:rsid w:val="0037395A"/>
    <w:rsid w:val="00373CAC"/>
    <w:rsid w:val="0037523B"/>
    <w:rsid w:val="003754C1"/>
    <w:rsid w:val="00377C73"/>
    <w:rsid w:val="00380181"/>
    <w:rsid w:val="00380999"/>
    <w:rsid w:val="00381CA1"/>
    <w:rsid w:val="00381F15"/>
    <w:rsid w:val="003830D4"/>
    <w:rsid w:val="00385C78"/>
    <w:rsid w:val="00386858"/>
    <w:rsid w:val="0039029E"/>
    <w:rsid w:val="00390962"/>
    <w:rsid w:val="0039097D"/>
    <w:rsid w:val="003927D0"/>
    <w:rsid w:val="00392FDA"/>
    <w:rsid w:val="00393172"/>
    <w:rsid w:val="00394023"/>
    <w:rsid w:val="00394443"/>
    <w:rsid w:val="003A258B"/>
    <w:rsid w:val="003A261D"/>
    <w:rsid w:val="003A4145"/>
    <w:rsid w:val="003A42D5"/>
    <w:rsid w:val="003A4938"/>
    <w:rsid w:val="003A4955"/>
    <w:rsid w:val="003A51E4"/>
    <w:rsid w:val="003A595D"/>
    <w:rsid w:val="003A5BCA"/>
    <w:rsid w:val="003A6F89"/>
    <w:rsid w:val="003A7A95"/>
    <w:rsid w:val="003A7E26"/>
    <w:rsid w:val="003B00E8"/>
    <w:rsid w:val="003B07A4"/>
    <w:rsid w:val="003B0D72"/>
    <w:rsid w:val="003B11A2"/>
    <w:rsid w:val="003B233F"/>
    <w:rsid w:val="003B2D50"/>
    <w:rsid w:val="003B32F5"/>
    <w:rsid w:val="003B352F"/>
    <w:rsid w:val="003B35A7"/>
    <w:rsid w:val="003B7141"/>
    <w:rsid w:val="003B7898"/>
    <w:rsid w:val="003B7E9F"/>
    <w:rsid w:val="003B7F57"/>
    <w:rsid w:val="003C00FE"/>
    <w:rsid w:val="003C47EF"/>
    <w:rsid w:val="003C4E74"/>
    <w:rsid w:val="003C5C55"/>
    <w:rsid w:val="003D1A55"/>
    <w:rsid w:val="003D1F4E"/>
    <w:rsid w:val="003D2665"/>
    <w:rsid w:val="003D2CC6"/>
    <w:rsid w:val="003D3669"/>
    <w:rsid w:val="003D47B0"/>
    <w:rsid w:val="003D68C0"/>
    <w:rsid w:val="003D6A72"/>
    <w:rsid w:val="003D6E6E"/>
    <w:rsid w:val="003D7560"/>
    <w:rsid w:val="003D7B70"/>
    <w:rsid w:val="003E270F"/>
    <w:rsid w:val="003E2BF3"/>
    <w:rsid w:val="003E47B4"/>
    <w:rsid w:val="003E5104"/>
    <w:rsid w:val="003E541E"/>
    <w:rsid w:val="003E570D"/>
    <w:rsid w:val="003E5CD9"/>
    <w:rsid w:val="003E63BC"/>
    <w:rsid w:val="003E694A"/>
    <w:rsid w:val="003E7596"/>
    <w:rsid w:val="003F0BF9"/>
    <w:rsid w:val="003F1BAE"/>
    <w:rsid w:val="003F323A"/>
    <w:rsid w:val="003F5144"/>
    <w:rsid w:val="003F6EA0"/>
    <w:rsid w:val="003F7167"/>
    <w:rsid w:val="003F75B1"/>
    <w:rsid w:val="003F7C0B"/>
    <w:rsid w:val="0040012F"/>
    <w:rsid w:val="00400696"/>
    <w:rsid w:val="00400D7F"/>
    <w:rsid w:val="00402AA1"/>
    <w:rsid w:val="00404B57"/>
    <w:rsid w:val="0040630B"/>
    <w:rsid w:val="00411587"/>
    <w:rsid w:val="004119D2"/>
    <w:rsid w:val="00411FAC"/>
    <w:rsid w:val="00413BAC"/>
    <w:rsid w:val="00415B15"/>
    <w:rsid w:val="004163C7"/>
    <w:rsid w:val="0041763C"/>
    <w:rsid w:val="0041785E"/>
    <w:rsid w:val="00417A14"/>
    <w:rsid w:val="00417BEB"/>
    <w:rsid w:val="00420AC3"/>
    <w:rsid w:val="00420C22"/>
    <w:rsid w:val="0042188D"/>
    <w:rsid w:val="00423770"/>
    <w:rsid w:val="00424477"/>
    <w:rsid w:val="00424E65"/>
    <w:rsid w:val="00426A03"/>
    <w:rsid w:val="00430909"/>
    <w:rsid w:val="00431796"/>
    <w:rsid w:val="0043228C"/>
    <w:rsid w:val="0043323E"/>
    <w:rsid w:val="00434CE0"/>
    <w:rsid w:val="004369FF"/>
    <w:rsid w:val="0043751B"/>
    <w:rsid w:val="00437A7E"/>
    <w:rsid w:val="00440097"/>
    <w:rsid w:val="004416FF"/>
    <w:rsid w:val="00441AEB"/>
    <w:rsid w:val="00444115"/>
    <w:rsid w:val="004447C1"/>
    <w:rsid w:val="004460D0"/>
    <w:rsid w:val="0044704A"/>
    <w:rsid w:val="004507A1"/>
    <w:rsid w:val="00450C21"/>
    <w:rsid w:val="00450EF5"/>
    <w:rsid w:val="00450FD3"/>
    <w:rsid w:val="00452DE1"/>
    <w:rsid w:val="00452FEF"/>
    <w:rsid w:val="00453297"/>
    <w:rsid w:val="004546A8"/>
    <w:rsid w:val="00455AEF"/>
    <w:rsid w:val="00456442"/>
    <w:rsid w:val="00457699"/>
    <w:rsid w:val="00461047"/>
    <w:rsid w:val="004619EB"/>
    <w:rsid w:val="00462D52"/>
    <w:rsid w:val="0046326B"/>
    <w:rsid w:val="004642BB"/>
    <w:rsid w:val="00464889"/>
    <w:rsid w:val="004654AE"/>
    <w:rsid w:val="00465CC4"/>
    <w:rsid w:val="00465D3E"/>
    <w:rsid w:val="00465F45"/>
    <w:rsid w:val="00466159"/>
    <w:rsid w:val="004700CE"/>
    <w:rsid w:val="0047030A"/>
    <w:rsid w:val="00470B20"/>
    <w:rsid w:val="00470F1D"/>
    <w:rsid w:val="0047108D"/>
    <w:rsid w:val="00471693"/>
    <w:rsid w:val="0047312A"/>
    <w:rsid w:val="004734EA"/>
    <w:rsid w:val="00475036"/>
    <w:rsid w:val="0047511B"/>
    <w:rsid w:val="00475135"/>
    <w:rsid w:val="004752CA"/>
    <w:rsid w:val="0047578E"/>
    <w:rsid w:val="00476803"/>
    <w:rsid w:val="00477096"/>
    <w:rsid w:val="00477A96"/>
    <w:rsid w:val="0048199D"/>
    <w:rsid w:val="00481A2F"/>
    <w:rsid w:val="00481D3D"/>
    <w:rsid w:val="00482D85"/>
    <w:rsid w:val="0048697A"/>
    <w:rsid w:val="00486D55"/>
    <w:rsid w:val="00487B03"/>
    <w:rsid w:val="00487F67"/>
    <w:rsid w:val="00490016"/>
    <w:rsid w:val="00490B14"/>
    <w:rsid w:val="00491DE2"/>
    <w:rsid w:val="00491E2B"/>
    <w:rsid w:val="00493915"/>
    <w:rsid w:val="00494B23"/>
    <w:rsid w:val="004970D8"/>
    <w:rsid w:val="00497D5E"/>
    <w:rsid w:val="004A0859"/>
    <w:rsid w:val="004A0C5D"/>
    <w:rsid w:val="004A0EB4"/>
    <w:rsid w:val="004A36AA"/>
    <w:rsid w:val="004A36B0"/>
    <w:rsid w:val="004A57FD"/>
    <w:rsid w:val="004A5BCD"/>
    <w:rsid w:val="004A62B1"/>
    <w:rsid w:val="004A6682"/>
    <w:rsid w:val="004A76A6"/>
    <w:rsid w:val="004B20ED"/>
    <w:rsid w:val="004B2E53"/>
    <w:rsid w:val="004B36AD"/>
    <w:rsid w:val="004B3876"/>
    <w:rsid w:val="004B39CB"/>
    <w:rsid w:val="004B40FD"/>
    <w:rsid w:val="004B547A"/>
    <w:rsid w:val="004B61D3"/>
    <w:rsid w:val="004B6672"/>
    <w:rsid w:val="004B67BF"/>
    <w:rsid w:val="004B7677"/>
    <w:rsid w:val="004C04D6"/>
    <w:rsid w:val="004C2D04"/>
    <w:rsid w:val="004C3C2C"/>
    <w:rsid w:val="004C4C5C"/>
    <w:rsid w:val="004C54D9"/>
    <w:rsid w:val="004C6AA4"/>
    <w:rsid w:val="004C6CB0"/>
    <w:rsid w:val="004C6E80"/>
    <w:rsid w:val="004D01BA"/>
    <w:rsid w:val="004D2166"/>
    <w:rsid w:val="004D245E"/>
    <w:rsid w:val="004D2F9C"/>
    <w:rsid w:val="004D414A"/>
    <w:rsid w:val="004D45E3"/>
    <w:rsid w:val="004D46D4"/>
    <w:rsid w:val="004D530F"/>
    <w:rsid w:val="004D58C0"/>
    <w:rsid w:val="004D5DDF"/>
    <w:rsid w:val="004D6D2A"/>
    <w:rsid w:val="004D7158"/>
    <w:rsid w:val="004D7B9A"/>
    <w:rsid w:val="004D7E36"/>
    <w:rsid w:val="004E0A98"/>
    <w:rsid w:val="004E0B31"/>
    <w:rsid w:val="004E0B55"/>
    <w:rsid w:val="004E2371"/>
    <w:rsid w:val="004E2CC1"/>
    <w:rsid w:val="004E3D55"/>
    <w:rsid w:val="004E3F00"/>
    <w:rsid w:val="004E506F"/>
    <w:rsid w:val="004E544B"/>
    <w:rsid w:val="004E57DE"/>
    <w:rsid w:val="004E5B91"/>
    <w:rsid w:val="004E6E3E"/>
    <w:rsid w:val="004F0079"/>
    <w:rsid w:val="004F1333"/>
    <w:rsid w:val="004F1573"/>
    <w:rsid w:val="004F163D"/>
    <w:rsid w:val="004F2487"/>
    <w:rsid w:val="004F273D"/>
    <w:rsid w:val="004F2B61"/>
    <w:rsid w:val="004F34EA"/>
    <w:rsid w:val="004F58C7"/>
    <w:rsid w:val="004F7DAB"/>
    <w:rsid w:val="004F7F0F"/>
    <w:rsid w:val="0050118C"/>
    <w:rsid w:val="005024EC"/>
    <w:rsid w:val="005025B5"/>
    <w:rsid w:val="0050456E"/>
    <w:rsid w:val="00505608"/>
    <w:rsid w:val="00505B30"/>
    <w:rsid w:val="00506736"/>
    <w:rsid w:val="00513EAB"/>
    <w:rsid w:val="00516F99"/>
    <w:rsid w:val="00517448"/>
    <w:rsid w:val="00517AC5"/>
    <w:rsid w:val="0052084D"/>
    <w:rsid w:val="0052224D"/>
    <w:rsid w:val="00522B29"/>
    <w:rsid w:val="00523D1E"/>
    <w:rsid w:val="0052459F"/>
    <w:rsid w:val="00525A6B"/>
    <w:rsid w:val="00525B4B"/>
    <w:rsid w:val="00525C64"/>
    <w:rsid w:val="005300D6"/>
    <w:rsid w:val="005311B3"/>
    <w:rsid w:val="005315E8"/>
    <w:rsid w:val="00532474"/>
    <w:rsid w:val="005325FC"/>
    <w:rsid w:val="00533106"/>
    <w:rsid w:val="00533348"/>
    <w:rsid w:val="00533DD1"/>
    <w:rsid w:val="00534DCE"/>
    <w:rsid w:val="005358B9"/>
    <w:rsid w:val="00536495"/>
    <w:rsid w:val="00540D24"/>
    <w:rsid w:val="0054227F"/>
    <w:rsid w:val="005428F8"/>
    <w:rsid w:val="005438EF"/>
    <w:rsid w:val="005447E0"/>
    <w:rsid w:val="00544DDD"/>
    <w:rsid w:val="00545A31"/>
    <w:rsid w:val="00546004"/>
    <w:rsid w:val="005506B9"/>
    <w:rsid w:val="00551620"/>
    <w:rsid w:val="0055169C"/>
    <w:rsid w:val="00553984"/>
    <w:rsid w:val="00556749"/>
    <w:rsid w:val="0055756A"/>
    <w:rsid w:val="00557D06"/>
    <w:rsid w:val="00560373"/>
    <w:rsid w:val="005607E3"/>
    <w:rsid w:val="00562FE8"/>
    <w:rsid w:val="00564E1D"/>
    <w:rsid w:val="00565894"/>
    <w:rsid w:val="00565F3A"/>
    <w:rsid w:val="00566A80"/>
    <w:rsid w:val="00566D44"/>
    <w:rsid w:val="00567EE3"/>
    <w:rsid w:val="0057099B"/>
    <w:rsid w:val="00570A80"/>
    <w:rsid w:val="00572315"/>
    <w:rsid w:val="005723A9"/>
    <w:rsid w:val="005723C6"/>
    <w:rsid w:val="005729AA"/>
    <w:rsid w:val="005733D2"/>
    <w:rsid w:val="00574D60"/>
    <w:rsid w:val="00574DF2"/>
    <w:rsid w:val="00574EA5"/>
    <w:rsid w:val="005800E3"/>
    <w:rsid w:val="00583125"/>
    <w:rsid w:val="005839C4"/>
    <w:rsid w:val="00584642"/>
    <w:rsid w:val="00584C46"/>
    <w:rsid w:val="005851E2"/>
    <w:rsid w:val="00586A07"/>
    <w:rsid w:val="00586BD4"/>
    <w:rsid w:val="005906C2"/>
    <w:rsid w:val="005909CF"/>
    <w:rsid w:val="00590B62"/>
    <w:rsid w:val="00590BA9"/>
    <w:rsid w:val="00590FE3"/>
    <w:rsid w:val="00593357"/>
    <w:rsid w:val="0059378E"/>
    <w:rsid w:val="005938B0"/>
    <w:rsid w:val="0059393D"/>
    <w:rsid w:val="00596189"/>
    <w:rsid w:val="005A15C3"/>
    <w:rsid w:val="005A21B0"/>
    <w:rsid w:val="005A2C00"/>
    <w:rsid w:val="005A2D74"/>
    <w:rsid w:val="005A3251"/>
    <w:rsid w:val="005A359A"/>
    <w:rsid w:val="005A3BE8"/>
    <w:rsid w:val="005A3C36"/>
    <w:rsid w:val="005A440E"/>
    <w:rsid w:val="005A4EDE"/>
    <w:rsid w:val="005A5824"/>
    <w:rsid w:val="005A59A4"/>
    <w:rsid w:val="005A663E"/>
    <w:rsid w:val="005B05E7"/>
    <w:rsid w:val="005B174F"/>
    <w:rsid w:val="005B17AB"/>
    <w:rsid w:val="005B2ECA"/>
    <w:rsid w:val="005B5287"/>
    <w:rsid w:val="005B6E78"/>
    <w:rsid w:val="005B7171"/>
    <w:rsid w:val="005C051D"/>
    <w:rsid w:val="005C224B"/>
    <w:rsid w:val="005C35C5"/>
    <w:rsid w:val="005C37B2"/>
    <w:rsid w:val="005C76AB"/>
    <w:rsid w:val="005D0C49"/>
    <w:rsid w:val="005D12AE"/>
    <w:rsid w:val="005D1965"/>
    <w:rsid w:val="005D1A7D"/>
    <w:rsid w:val="005D2141"/>
    <w:rsid w:val="005D29B9"/>
    <w:rsid w:val="005D3284"/>
    <w:rsid w:val="005D3419"/>
    <w:rsid w:val="005D3B27"/>
    <w:rsid w:val="005D43AF"/>
    <w:rsid w:val="005D4BD4"/>
    <w:rsid w:val="005D55AD"/>
    <w:rsid w:val="005D62A9"/>
    <w:rsid w:val="005D7C7F"/>
    <w:rsid w:val="005E0778"/>
    <w:rsid w:val="005E22CA"/>
    <w:rsid w:val="005E23AF"/>
    <w:rsid w:val="005E4846"/>
    <w:rsid w:val="005E510F"/>
    <w:rsid w:val="005E536D"/>
    <w:rsid w:val="005E53A6"/>
    <w:rsid w:val="005E6A69"/>
    <w:rsid w:val="005E6ABC"/>
    <w:rsid w:val="005F02D7"/>
    <w:rsid w:val="005F5782"/>
    <w:rsid w:val="005F5A6E"/>
    <w:rsid w:val="005F7AC2"/>
    <w:rsid w:val="00600C6D"/>
    <w:rsid w:val="0060149E"/>
    <w:rsid w:val="006019AC"/>
    <w:rsid w:val="00602B64"/>
    <w:rsid w:val="006032FE"/>
    <w:rsid w:val="00605325"/>
    <w:rsid w:val="00605D49"/>
    <w:rsid w:val="00610831"/>
    <w:rsid w:val="00610CF2"/>
    <w:rsid w:val="006110C1"/>
    <w:rsid w:val="00611729"/>
    <w:rsid w:val="00612E5D"/>
    <w:rsid w:val="006135FA"/>
    <w:rsid w:val="00615679"/>
    <w:rsid w:val="00616E67"/>
    <w:rsid w:val="00617784"/>
    <w:rsid w:val="00620E8C"/>
    <w:rsid w:val="0062185C"/>
    <w:rsid w:val="00621E9A"/>
    <w:rsid w:val="00622BB4"/>
    <w:rsid w:val="0062378E"/>
    <w:rsid w:val="00624067"/>
    <w:rsid w:val="00624E6A"/>
    <w:rsid w:val="00625009"/>
    <w:rsid w:val="0062506A"/>
    <w:rsid w:val="00626BE3"/>
    <w:rsid w:val="00626D57"/>
    <w:rsid w:val="0062788F"/>
    <w:rsid w:val="00630109"/>
    <w:rsid w:val="00630B4B"/>
    <w:rsid w:val="00631414"/>
    <w:rsid w:val="00631E49"/>
    <w:rsid w:val="006327CD"/>
    <w:rsid w:val="00633C6E"/>
    <w:rsid w:val="006340D0"/>
    <w:rsid w:val="006344CB"/>
    <w:rsid w:val="00634E43"/>
    <w:rsid w:val="00635B3D"/>
    <w:rsid w:val="0063679C"/>
    <w:rsid w:val="00636E80"/>
    <w:rsid w:val="00637832"/>
    <w:rsid w:val="00641597"/>
    <w:rsid w:val="00644DCD"/>
    <w:rsid w:val="00650069"/>
    <w:rsid w:val="0065078D"/>
    <w:rsid w:val="006520BE"/>
    <w:rsid w:val="006522EC"/>
    <w:rsid w:val="00653C56"/>
    <w:rsid w:val="00654F61"/>
    <w:rsid w:val="006552BE"/>
    <w:rsid w:val="00656FF4"/>
    <w:rsid w:val="0066067B"/>
    <w:rsid w:val="006607E7"/>
    <w:rsid w:val="00660CE8"/>
    <w:rsid w:val="006612A5"/>
    <w:rsid w:val="00661343"/>
    <w:rsid w:val="006616E2"/>
    <w:rsid w:val="00663244"/>
    <w:rsid w:val="006632DB"/>
    <w:rsid w:val="00663571"/>
    <w:rsid w:val="00663953"/>
    <w:rsid w:val="00663FCD"/>
    <w:rsid w:val="006640DE"/>
    <w:rsid w:val="00665472"/>
    <w:rsid w:val="0066588A"/>
    <w:rsid w:val="00665B50"/>
    <w:rsid w:val="00666B0B"/>
    <w:rsid w:val="00666F3A"/>
    <w:rsid w:val="00670CA5"/>
    <w:rsid w:val="006715AF"/>
    <w:rsid w:val="00671CA1"/>
    <w:rsid w:val="00672CA9"/>
    <w:rsid w:val="00672E9C"/>
    <w:rsid w:val="0067332E"/>
    <w:rsid w:val="006744F0"/>
    <w:rsid w:val="0067512B"/>
    <w:rsid w:val="006753D0"/>
    <w:rsid w:val="00676834"/>
    <w:rsid w:val="00676F17"/>
    <w:rsid w:val="006776E7"/>
    <w:rsid w:val="00680A0C"/>
    <w:rsid w:val="00680B59"/>
    <w:rsid w:val="00680C5C"/>
    <w:rsid w:val="0068129A"/>
    <w:rsid w:val="0068365B"/>
    <w:rsid w:val="006838AD"/>
    <w:rsid w:val="00683DDC"/>
    <w:rsid w:val="00684CF0"/>
    <w:rsid w:val="00685FC2"/>
    <w:rsid w:val="00686180"/>
    <w:rsid w:val="0068665C"/>
    <w:rsid w:val="00687A4B"/>
    <w:rsid w:val="00687D98"/>
    <w:rsid w:val="00690E2B"/>
    <w:rsid w:val="00692BDA"/>
    <w:rsid w:val="00693899"/>
    <w:rsid w:val="006938CC"/>
    <w:rsid w:val="006938E3"/>
    <w:rsid w:val="00693AAA"/>
    <w:rsid w:val="006945D2"/>
    <w:rsid w:val="006946BA"/>
    <w:rsid w:val="006951FF"/>
    <w:rsid w:val="0069535C"/>
    <w:rsid w:val="006967E9"/>
    <w:rsid w:val="00696AFB"/>
    <w:rsid w:val="006A16F0"/>
    <w:rsid w:val="006A1BD3"/>
    <w:rsid w:val="006A217E"/>
    <w:rsid w:val="006A2188"/>
    <w:rsid w:val="006A2805"/>
    <w:rsid w:val="006A2D1C"/>
    <w:rsid w:val="006A2FB5"/>
    <w:rsid w:val="006A335E"/>
    <w:rsid w:val="006A51B5"/>
    <w:rsid w:val="006A584B"/>
    <w:rsid w:val="006A6371"/>
    <w:rsid w:val="006A6AAC"/>
    <w:rsid w:val="006A6FDD"/>
    <w:rsid w:val="006A7932"/>
    <w:rsid w:val="006A7E47"/>
    <w:rsid w:val="006B0516"/>
    <w:rsid w:val="006B15C6"/>
    <w:rsid w:val="006B2B12"/>
    <w:rsid w:val="006B517D"/>
    <w:rsid w:val="006B55D7"/>
    <w:rsid w:val="006B5F79"/>
    <w:rsid w:val="006B6170"/>
    <w:rsid w:val="006C1F0C"/>
    <w:rsid w:val="006C2EAE"/>
    <w:rsid w:val="006C33D1"/>
    <w:rsid w:val="006C3FB4"/>
    <w:rsid w:val="006C450D"/>
    <w:rsid w:val="006C5572"/>
    <w:rsid w:val="006C6FB5"/>
    <w:rsid w:val="006D02CE"/>
    <w:rsid w:val="006D1789"/>
    <w:rsid w:val="006D1C0C"/>
    <w:rsid w:val="006D2154"/>
    <w:rsid w:val="006D32FA"/>
    <w:rsid w:val="006D36C0"/>
    <w:rsid w:val="006D4224"/>
    <w:rsid w:val="006D4F3F"/>
    <w:rsid w:val="006D564F"/>
    <w:rsid w:val="006D56CF"/>
    <w:rsid w:val="006D6D7D"/>
    <w:rsid w:val="006D71BC"/>
    <w:rsid w:val="006D7BD7"/>
    <w:rsid w:val="006D7F75"/>
    <w:rsid w:val="006E0693"/>
    <w:rsid w:val="006E0CC9"/>
    <w:rsid w:val="006E1390"/>
    <w:rsid w:val="006E3005"/>
    <w:rsid w:val="006E3331"/>
    <w:rsid w:val="006E38C3"/>
    <w:rsid w:val="006E4A0B"/>
    <w:rsid w:val="006E570E"/>
    <w:rsid w:val="006E5932"/>
    <w:rsid w:val="006E7C28"/>
    <w:rsid w:val="006F09F5"/>
    <w:rsid w:val="006F3205"/>
    <w:rsid w:val="006F40B7"/>
    <w:rsid w:val="006F434E"/>
    <w:rsid w:val="006F5049"/>
    <w:rsid w:val="006F6D00"/>
    <w:rsid w:val="006F7FC6"/>
    <w:rsid w:val="0070003F"/>
    <w:rsid w:val="00703287"/>
    <w:rsid w:val="00703C6B"/>
    <w:rsid w:val="007046CA"/>
    <w:rsid w:val="00704BA9"/>
    <w:rsid w:val="00705076"/>
    <w:rsid w:val="00705AA1"/>
    <w:rsid w:val="00705EE7"/>
    <w:rsid w:val="00711E40"/>
    <w:rsid w:val="00711FC0"/>
    <w:rsid w:val="0071312D"/>
    <w:rsid w:val="00715792"/>
    <w:rsid w:val="00715793"/>
    <w:rsid w:val="00716DE8"/>
    <w:rsid w:val="007171DD"/>
    <w:rsid w:val="007204AB"/>
    <w:rsid w:val="0072055B"/>
    <w:rsid w:val="00720BCA"/>
    <w:rsid w:val="00721087"/>
    <w:rsid w:val="007236E2"/>
    <w:rsid w:val="00723C28"/>
    <w:rsid w:val="007242DB"/>
    <w:rsid w:val="00731ED8"/>
    <w:rsid w:val="00731FC5"/>
    <w:rsid w:val="0073262F"/>
    <w:rsid w:val="00733F8E"/>
    <w:rsid w:val="007351A9"/>
    <w:rsid w:val="00735416"/>
    <w:rsid w:val="007361B4"/>
    <w:rsid w:val="00736FF8"/>
    <w:rsid w:val="007376A7"/>
    <w:rsid w:val="00741385"/>
    <w:rsid w:val="007415A8"/>
    <w:rsid w:val="00743D0B"/>
    <w:rsid w:val="00744C6C"/>
    <w:rsid w:val="00750DBD"/>
    <w:rsid w:val="0075151C"/>
    <w:rsid w:val="00751CFE"/>
    <w:rsid w:val="00751D20"/>
    <w:rsid w:val="00752A00"/>
    <w:rsid w:val="00753739"/>
    <w:rsid w:val="00755450"/>
    <w:rsid w:val="0075620F"/>
    <w:rsid w:val="007574E9"/>
    <w:rsid w:val="00757687"/>
    <w:rsid w:val="0076062A"/>
    <w:rsid w:val="00760951"/>
    <w:rsid w:val="00762742"/>
    <w:rsid w:val="00764132"/>
    <w:rsid w:val="007668C5"/>
    <w:rsid w:val="00767FC7"/>
    <w:rsid w:val="007704E9"/>
    <w:rsid w:val="00770CE8"/>
    <w:rsid w:val="00772BCF"/>
    <w:rsid w:val="007746F7"/>
    <w:rsid w:val="007760B0"/>
    <w:rsid w:val="00780873"/>
    <w:rsid w:val="00780CC5"/>
    <w:rsid w:val="00782CD2"/>
    <w:rsid w:val="00783C7A"/>
    <w:rsid w:val="00783DE1"/>
    <w:rsid w:val="007853F8"/>
    <w:rsid w:val="00787136"/>
    <w:rsid w:val="00787560"/>
    <w:rsid w:val="00790062"/>
    <w:rsid w:val="007904A7"/>
    <w:rsid w:val="00790B50"/>
    <w:rsid w:val="007911A2"/>
    <w:rsid w:val="00791EC6"/>
    <w:rsid w:val="00793298"/>
    <w:rsid w:val="007945C2"/>
    <w:rsid w:val="00794A3F"/>
    <w:rsid w:val="007950F8"/>
    <w:rsid w:val="007958F7"/>
    <w:rsid w:val="00795F3B"/>
    <w:rsid w:val="007968E9"/>
    <w:rsid w:val="00796999"/>
    <w:rsid w:val="00797384"/>
    <w:rsid w:val="0079780C"/>
    <w:rsid w:val="007A3120"/>
    <w:rsid w:val="007A3575"/>
    <w:rsid w:val="007A3C22"/>
    <w:rsid w:val="007A5C84"/>
    <w:rsid w:val="007A5E93"/>
    <w:rsid w:val="007A6A56"/>
    <w:rsid w:val="007B0CAB"/>
    <w:rsid w:val="007B0D3F"/>
    <w:rsid w:val="007B132D"/>
    <w:rsid w:val="007B1515"/>
    <w:rsid w:val="007B1D7B"/>
    <w:rsid w:val="007B3711"/>
    <w:rsid w:val="007B45C8"/>
    <w:rsid w:val="007B4BC8"/>
    <w:rsid w:val="007B4C4B"/>
    <w:rsid w:val="007B5475"/>
    <w:rsid w:val="007C1305"/>
    <w:rsid w:val="007C17D9"/>
    <w:rsid w:val="007C309D"/>
    <w:rsid w:val="007C53B1"/>
    <w:rsid w:val="007C6DE2"/>
    <w:rsid w:val="007C6FA6"/>
    <w:rsid w:val="007C75D5"/>
    <w:rsid w:val="007C75DE"/>
    <w:rsid w:val="007C76FB"/>
    <w:rsid w:val="007D0525"/>
    <w:rsid w:val="007D26A1"/>
    <w:rsid w:val="007D31E6"/>
    <w:rsid w:val="007D4120"/>
    <w:rsid w:val="007D4F61"/>
    <w:rsid w:val="007D6F46"/>
    <w:rsid w:val="007D7135"/>
    <w:rsid w:val="007D7D4C"/>
    <w:rsid w:val="007E0134"/>
    <w:rsid w:val="007E099F"/>
    <w:rsid w:val="007E0CDB"/>
    <w:rsid w:val="007E38DB"/>
    <w:rsid w:val="007E4E8D"/>
    <w:rsid w:val="007E7B19"/>
    <w:rsid w:val="007F0493"/>
    <w:rsid w:val="007F1228"/>
    <w:rsid w:val="007F1242"/>
    <w:rsid w:val="007F1265"/>
    <w:rsid w:val="007F1CA1"/>
    <w:rsid w:val="007F27BC"/>
    <w:rsid w:val="007F32B9"/>
    <w:rsid w:val="007F3C8A"/>
    <w:rsid w:val="007F4869"/>
    <w:rsid w:val="007F57EF"/>
    <w:rsid w:val="007F59E7"/>
    <w:rsid w:val="007F74A2"/>
    <w:rsid w:val="00800E16"/>
    <w:rsid w:val="008010B7"/>
    <w:rsid w:val="00801F2F"/>
    <w:rsid w:val="008024AB"/>
    <w:rsid w:val="008029D6"/>
    <w:rsid w:val="00802A1C"/>
    <w:rsid w:val="008030B0"/>
    <w:rsid w:val="00804493"/>
    <w:rsid w:val="008052D1"/>
    <w:rsid w:val="00806576"/>
    <w:rsid w:val="00810985"/>
    <w:rsid w:val="00810C70"/>
    <w:rsid w:val="00810DB5"/>
    <w:rsid w:val="00810E71"/>
    <w:rsid w:val="00810F5A"/>
    <w:rsid w:val="00812694"/>
    <w:rsid w:val="00813063"/>
    <w:rsid w:val="008136AD"/>
    <w:rsid w:val="0081447B"/>
    <w:rsid w:val="0081556E"/>
    <w:rsid w:val="00816576"/>
    <w:rsid w:val="00821170"/>
    <w:rsid w:val="00821612"/>
    <w:rsid w:val="008228F2"/>
    <w:rsid w:val="0082352F"/>
    <w:rsid w:val="00823B93"/>
    <w:rsid w:val="008240DD"/>
    <w:rsid w:val="008261A6"/>
    <w:rsid w:val="00827AB8"/>
    <w:rsid w:val="00830316"/>
    <w:rsid w:val="008307C5"/>
    <w:rsid w:val="00830F37"/>
    <w:rsid w:val="0083208B"/>
    <w:rsid w:val="00832D01"/>
    <w:rsid w:val="008335CF"/>
    <w:rsid w:val="00833C08"/>
    <w:rsid w:val="00833E37"/>
    <w:rsid w:val="00834806"/>
    <w:rsid w:val="008368C0"/>
    <w:rsid w:val="00837E7D"/>
    <w:rsid w:val="008402F4"/>
    <w:rsid w:val="0084093D"/>
    <w:rsid w:val="00840983"/>
    <w:rsid w:val="00840D15"/>
    <w:rsid w:val="008415A7"/>
    <w:rsid w:val="0084210D"/>
    <w:rsid w:val="0084290B"/>
    <w:rsid w:val="00844326"/>
    <w:rsid w:val="00845D77"/>
    <w:rsid w:val="00850006"/>
    <w:rsid w:val="008501AB"/>
    <w:rsid w:val="0085288B"/>
    <w:rsid w:val="00852DDB"/>
    <w:rsid w:val="00854D09"/>
    <w:rsid w:val="0085695B"/>
    <w:rsid w:val="00856FFE"/>
    <w:rsid w:val="008577B1"/>
    <w:rsid w:val="00860FAE"/>
    <w:rsid w:val="008619D3"/>
    <w:rsid w:val="00861C6D"/>
    <w:rsid w:val="008621AC"/>
    <w:rsid w:val="0086332C"/>
    <w:rsid w:val="008633B1"/>
    <w:rsid w:val="00865D22"/>
    <w:rsid w:val="00866916"/>
    <w:rsid w:val="00867C15"/>
    <w:rsid w:val="00867F39"/>
    <w:rsid w:val="00870BB8"/>
    <w:rsid w:val="00873087"/>
    <w:rsid w:val="008741FC"/>
    <w:rsid w:val="00880C21"/>
    <w:rsid w:val="00880DC2"/>
    <w:rsid w:val="00881750"/>
    <w:rsid w:val="00881A8C"/>
    <w:rsid w:val="00882A11"/>
    <w:rsid w:val="00882E73"/>
    <w:rsid w:val="008846FF"/>
    <w:rsid w:val="00884870"/>
    <w:rsid w:val="0088520E"/>
    <w:rsid w:val="0088677C"/>
    <w:rsid w:val="00891646"/>
    <w:rsid w:val="00892386"/>
    <w:rsid w:val="008924C2"/>
    <w:rsid w:val="00892CD7"/>
    <w:rsid w:val="00895F52"/>
    <w:rsid w:val="008A0F0F"/>
    <w:rsid w:val="008A3B48"/>
    <w:rsid w:val="008A43E6"/>
    <w:rsid w:val="008A456D"/>
    <w:rsid w:val="008A4885"/>
    <w:rsid w:val="008A52E5"/>
    <w:rsid w:val="008A5C65"/>
    <w:rsid w:val="008A6738"/>
    <w:rsid w:val="008B005C"/>
    <w:rsid w:val="008B1AA5"/>
    <w:rsid w:val="008B2441"/>
    <w:rsid w:val="008B389C"/>
    <w:rsid w:val="008B3A09"/>
    <w:rsid w:val="008B782A"/>
    <w:rsid w:val="008B7A73"/>
    <w:rsid w:val="008C149A"/>
    <w:rsid w:val="008C1784"/>
    <w:rsid w:val="008C338F"/>
    <w:rsid w:val="008C3AFD"/>
    <w:rsid w:val="008C3E54"/>
    <w:rsid w:val="008C4BD8"/>
    <w:rsid w:val="008C527B"/>
    <w:rsid w:val="008C5834"/>
    <w:rsid w:val="008C6244"/>
    <w:rsid w:val="008C687F"/>
    <w:rsid w:val="008D15D9"/>
    <w:rsid w:val="008D15DF"/>
    <w:rsid w:val="008D3D13"/>
    <w:rsid w:val="008D413D"/>
    <w:rsid w:val="008D44AA"/>
    <w:rsid w:val="008D490A"/>
    <w:rsid w:val="008D56FB"/>
    <w:rsid w:val="008D67F4"/>
    <w:rsid w:val="008D7959"/>
    <w:rsid w:val="008E00DD"/>
    <w:rsid w:val="008E0902"/>
    <w:rsid w:val="008E262E"/>
    <w:rsid w:val="008E3051"/>
    <w:rsid w:val="008E4CD5"/>
    <w:rsid w:val="008E4F28"/>
    <w:rsid w:val="008E5BC7"/>
    <w:rsid w:val="008F037D"/>
    <w:rsid w:val="008F0A7D"/>
    <w:rsid w:val="008F187F"/>
    <w:rsid w:val="008F376D"/>
    <w:rsid w:val="008F3B51"/>
    <w:rsid w:val="008F4525"/>
    <w:rsid w:val="008F505E"/>
    <w:rsid w:val="008F50EB"/>
    <w:rsid w:val="008F6DB5"/>
    <w:rsid w:val="008F6E5C"/>
    <w:rsid w:val="00901B7D"/>
    <w:rsid w:val="00902B2D"/>
    <w:rsid w:val="00903307"/>
    <w:rsid w:val="00903436"/>
    <w:rsid w:val="00903F2B"/>
    <w:rsid w:val="0090443B"/>
    <w:rsid w:val="0090446D"/>
    <w:rsid w:val="009046AD"/>
    <w:rsid w:val="009054C0"/>
    <w:rsid w:val="00906640"/>
    <w:rsid w:val="009112BF"/>
    <w:rsid w:val="00912D49"/>
    <w:rsid w:val="0091383D"/>
    <w:rsid w:val="00914440"/>
    <w:rsid w:val="00915013"/>
    <w:rsid w:val="009156F7"/>
    <w:rsid w:val="00915A03"/>
    <w:rsid w:val="009176F5"/>
    <w:rsid w:val="00920389"/>
    <w:rsid w:val="00920B25"/>
    <w:rsid w:val="009220EF"/>
    <w:rsid w:val="0092279C"/>
    <w:rsid w:val="009252ED"/>
    <w:rsid w:val="00925459"/>
    <w:rsid w:val="00925CEF"/>
    <w:rsid w:val="00926838"/>
    <w:rsid w:val="00930A47"/>
    <w:rsid w:val="00932F23"/>
    <w:rsid w:val="009333D0"/>
    <w:rsid w:val="00934CB6"/>
    <w:rsid w:val="00934F85"/>
    <w:rsid w:val="00936A8F"/>
    <w:rsid w:val="00937593"/>
    <w:rsid w:val="009418FD"/>
    <w:rsid w:val="00941BB4"/>
    <w:rsid w:val="0094388F"/>
    <w:rsid w:val="00943996"/>
    <w:rsid w:val="00943D85"/>
    <w:rsid w:val="009442EB"/>
    <w:rsid w:val="009456C0"/>
    <w:rsid w:val="009476AC"/>
    <w:rsid w:val="00951DE5"/>
    <w:rsid w:val="00952C0E"/>
    <w:rsid w:val="009546F2"/>
    <w:rsid w:val="0095481A"/>
    <w:rsid w:val="00955B4A"/>
    <w:rsid w:val="00957088"/>
    <w:rsid w:val="00961272"/>
    <w:rsid w:val="009615B4"/>
    <w:rsid w:val="009620E8"/>
    <w:rsid w:val="0096280F"/>
    <w:rsid w:val="00964D2C"/>
    <w:rsid w:val="009667CE"/>
    <w:rsid w:val="00967251"/>
    <w:rsid w:val="009701F1"/>
    <w:rsid w:val="00970D3B"/>
    <w:rsid w:val="00971C12"/>
    <w:rsid w:val="00971EA0"/>
    <w:rsid w:val="00971F5D"/>
    <w:rsid w:val="00972944"/>
    <w:rsid w:val="00973E62"/>
    <w:rsid w:val="00973EF8"/>
    <w:rsid w:val="0097470A"/>
    <w:rsid w:val="009769DC"/>
    <w:rsid w:val="00977656"/>
    <w:rsid w:val="00980119"/>
    <w:rsid w:val="00980456"/>
    <w:rsid w:val="009815D8"/>
    <w:rsid w:val="00983292"/>
    <w:rsid w:val="00983AB5"/>
    <w:rsid w:val="00983F12"/>
    <w:rsid w:val="00985593"/>
    <w:rsid w:val="0099096E"/>
    <w:rsid w:val="0099117F"/>
    <w:rsid w:val="0099240A"/>
    <w:rsid w:val="00992A59"/>
    <w:rsid w:val="00993235"/>
    <w:rsid w:val="00995F19"/>
    <w:rsid w:val="00996AFE"/>
    <w:rsid w:val="00997561"/>
    <w:rsid w:val="009A4241"/>
    <w:rsid w:val="009A4299"/>
    <w:rsid w:val="009A667F"/>
    <w:rsid w:val="009A79ED"/>
    <w:rsid w:val="009B2101"/>
    <w:rsid w:val="009B24A0"/>
    <w:rsid w:val="009B31E7"/>
    <w:rsid w:val="009B35AF"/>
    <w:rsid w:val="009B44E3"/>
    <w:rsid w:val="009B4843"/>
    <w:rsid w:val="009B4F38"/>
    <w:rsid w:val="009B54B7"/>
    <w:rsid w:val="009B578C"/>
    <w:rsid w:val="009B77EE"/>
    <w:rsid w:val="009C048C"/>
    <w:rsid w:val="009C0E9F"/>
    <w:rsid w:val="009C10C7"/>
    <w:rsid w:val="009C12B7"/>
    <w:rsid w:val="009C4C0E"/>
    <w:rsid w:val="009C5C50"/>
    <w:rsid w:val="009C7200"/>
    <w:rsid w:val="009D1879"/>
    <w:rsid w:val="009D21CE"/>
    <w:rsid w:val="009D27D0"/>
    <w:rsid w:val="009D3F2F"/>
    <w:rsid w:val="009D5817"/>
    <w:rsid w:val="009D589F"/>
    <w:rsid w:val="009D658C"/>
    <w:rsid w:val="009D6E25"/>
    <w:rsid w:val="009E131E"/>
    <w:rsid w:val="009E194E"/>
    <w:rsid w:val="009E2BD6"/>
    <w:rsid w:val="009E33C3"/>
    <w:rsid w:val="009E3774"/>
    <w:rsid w:val="009E4D75"/>
    <w:rsid w:val="009E56E2"/>
    <w:rsid w:val="009E5B04"/>
    <w:rsid w:val="009E61C5"/>
    <w:rsid w:val="009E62DE"/>
    <w:rsid w:val="009E7222"/>
    <w:rsid w:val="009F0062"/>
    <w:rsid w:val="009F083D"/>
    <w:rsid w:val="009F0CE2"/>
    <w:rsid w:val="009F210C"/>
    <w:rsid w:val="009F2699"/>
    <w:rsid w:val="009F285D"/>
    <w:rsid w:val="009F4201"/>
    <w:rsid w:val="009F5341"/>
    <w:rsid w:val="009F552A"/>
    <w:rsid w:val="00A00215"/>
    <w:rsid w:val="00A01A7F"/>
    <w:rsid w:val="00A02742"/>
    <w:rsid w:val="00A02B5D"/>
    <w:rsid w:val="00A040D5"/>
    <w:rsid w:val="00A04AD6"/>
    <w:rsid w:val="00A04B7D"/>
    <w:rsid w:val="00A05B0D"/>
    <w:rsid w:val="00A0620D"/>
    <w:rsid w:val="00A07D8C"/>
    <w:rsid w:val="00A10356"/>
    <w:rsid w:val="00A10992"/>
    <w:rsid w:val="00A115A0"/>
    <w:rsid w:val="00A12D75"/>
    <w:rsid w:val="00A1312F"/>
    <w:rsid w:val="00A135D0"/>
    <w:rsid w:val="00A13D58"/>
    <w:rsid w:val="00A14DA3"/>
    <w:rsid w:val="00A14DB5"/>
    <w:rsid w:val="00A167C4"/>
    <w:rsid w:val="00A17385"/>
    <w:rsid w:val="00A17779"/>
    <w:rsid w:val="00A1793D"/>
    <w:rsid w:val="00A17B55"/>
    <w:rsid w:val="00A17DCB"/>
    <w:rsid w:val="00A21D8E"/>
    <w:rsid w:val="00A220D7"/>
    <w:rsid w:val="00A23618"/>
    <w:rsid w:val="00A23770"/>
    <w:rsid w:val="00A23C2D"/>
    <w:rsid w:val="00A240BB"/>
    <w:rsid w:val="00A2436D"/>
    <w:rsid w:val="00A2565E"/>
    <w:rsid w:val="00A26259"/>
    <w:rsid w:val="00A262A0"/>
    <w:rsid w:val="00A311F6"/>
    <w:rsid w:val="00A316C8"/>
    <w:rsid w:val="00A3225A"/>
    <w:rsid w:val="00A329C1"/>
    <w:rsid w:val="00A3338B"/>
    <w:rsid w:val="00A33EB0"/>
    <w:rsid w:val="00A35874"/>
    <w:rsid w:val="00A40931"/>
    <w:rsid w:val="00A41820"/>
    <w:rsid w:val="00A42172"/>
    <w:rsid w:val="00A42C1D"/>
    <w:rsid w:val="00A4346E"/>
    <w:rsid w:val="00A43B18"/>
    <w:rsid w:val="00A44D9D"/>
    <w:rsid w:val="00A44EC0"/>
    <w:rsid w:val="00A45E93"/>
    <w:rsid w:val="00A466A5"/>
    <w:rsid w:val="00A46B20"/>
    <w:rsid w:val="00A46EA8"/>
    <w:rsid w:val="00A519EE"/>
    <w:rsid w:val="00A52751"/>
    <w:rsid w:val="00A5290F"/>
    <w:rsid w:val="00A55502"/>
    <w:rsid w:val="00A57FC9"/>
    <w:rsid w:val="00A60D17"/>
    <w:rsid w:val="00A61953"/>
    <w:rsid w:val="00A61CDD"/>
    <w:rsid w:val="00A629D5"/>
    <w:rsid w:val="00A62B2D"/>
    <w:rsid w:val="00A6335A"/>
    <w:rsid w:val="00A63D96"/>
    <w:rsid w:val="00A63E1B"/>
    <w:rsid w:val="00A6527E"/>
    <w:rsid w:val="00A6560D"/>
    <w:rsid w:val="00A65F01"/>
    <w:rsid w:val="00A6792E"/>
    <w:rsid w:val="00A67E08"/>
    <w:rsid w:val="00A700FC"/>
    <w:rsid w:val="00A74B90"/>
    <w:rsid w:val="00A75FA5"/>
    <w:rsid w:val="00A80DC0"/>
    <w:rsid w:val="00A833A5"/>
    <w:rsid w:val="00A83DD3"/>
    <w:rsid w:val="00A8519A"/>
    <w:rsid w:val="00A871AD"/>
    <w:rsid w:val="00A907E0"/>
    <w:rsid w:val="00A91E20"/>
    <w:rsid w:val="00A920C0"/>
    <w:rsid w:val="00A924F3"/>
    <w:rsid w:val="00A92D87"/>
    <w:rsid w:val="00A94062"/>
    <w:rsid w:val="00A94A3F"/>
    <w:rsid w:val="00A94ADA"/>
    <w:rsid w:val="00A94B4E"/>
    <w:rsid w:val="00A94EFA"/>
    <w:rsid w:val="00A94EFF"/>
    <w:rsid w:val="00A95928"/>
    <w:rsid w:val="00A97943"/>
    <w:rsid w:val="00AA1482"/>
    <w:rsid w:val="00AA17CF"/>
    <w:rsid w:val="00AA1DA1"/>
    <w:rsid w:val="00AA1EE3"/>
    <w:rsid w:val="00AA1EF2"/>
    <w:rsid w:val="00AA3501"/>
    <w:rsid w:val="00AA677E"/>
    <w:rsid w:val="00AA735E"/>
    <w:rsid w:val="00AA7577"/>
    <w:rsid w:val="00AA7A9F"/>
    <w:rsid w:val="00AB1113"/>
    <w:rsid w:val="00AB1FA3"/>
    <w:rsid w:val="00AB27EA"/>
    <w:rsid w:val="00AB38B7"/>
    <w:rsid w:val="00AB3E7F"/>
    <w:rsid w:val="00AB6631"/>
    <w:rsid w:val="00AB67D3"/>
    <w:rsid w:val="00AC0577"/>
    <w:rsid w:val="00AC05AC"/>
    <w:rsid w:val="00AC0B41"/>
    <w:rsid w:val="00AC1AB1"/>
    <w:rsid w:val="00AC23A5"/>
    <w:rsid w:val="00AC26A1"/>
    <w:rsid w:val="00AC634E"/>
    <w:rsid w:val="00AC63B5"/>
    <w:rsid w:val="00AD186B"/>
    <w:rsid w:val="00AD4DB2"/>
    <w:rsid w:val="00AD61A1"/>
    <w:rsid w:val="00AD6CD0"/>
    <w:rsid w:val="00AD7B23"/>
    <w:rsid w:val="00AD7DD8"/>
    <w:rsid w:val="00AD7E36"/>
    <w:rsid w:val="00AE0B83"/>
    <w:rsid w:val="00AE14C0"/>
    <w:rsid w:val="00AE189B"/>
    <w:rsid w:val="00AE1965"/>
    <w:rsid w:val="00AE50A7"/>
    <w:rsid w:val="00AE5FD5"/>
    <w:rsid w:val="00AE6951"/>
    <w:rsid w:val="00AE6BD7"/>
    <w:rsid w:val="00AE6D8B"/>
    <w:rsid w:val="00AE7777"/>
    <w:rsid w:val="00AE7A35"/>
    <w:rsid w:val="00AF090A"/>
    <w:rsid w:val="00AF25DB"/>
    <w:rsid w:val="00AF38DE"/>
    <w:rsid w:val="00AF40BA"/>
    <w:rsid w:val="00AF4C02"/>
    <w:rsid w:val="00AF5397"/>
    <w:rsid w:val="00AF60DD"/>
    <w:rsid w:val="00AF79A5"/>
    <w:rsid w:val="00B002AE"/>
    <w:rsid w:val="00B002FC"/>
    <w:rsid w:val="00B00ACB"/>
    <w:rsid w:val="00B00C99"/>
    <w:rsid w:val="00B033CC"/>
    <w:rsid w:val="00B03DA4"/>
    <w:rsid w:val="00B03DB6"/>
    <w:rsid w:val="00B04F16"/>
    <w:rsid w:val="00B05F48"/>
    <w:rsid w:val="00B07857"/>
    <w:rsid w:val="00B1022E"/>
    <w:rsid w:val="00B108B7"/>
    <w:rsid w:val="00B10CA1"/>
    <w:rsid w:val="00B13BC5"/>
    <w:rsid w:val="00B13FFF"/>
    <w:rsid w:val="00B1680F"/>
    <w:rsid w:val="00B20388"/>
    <w:rsid w:val="00B20556"/>
    <w:rsid w:val="00B20B72"/>
    <w:rsid w:val="00B2212D"/>
    <w:rsid w:val="00B27717"/>
    <w:rsid w:val="00B351FB"/>
    <w:rsid w:val="00B35EE8"/>
    <w:rsid w:val="00B36EC5"/>
    <w:rsid w:val="00B43833"/>
    <w:rsid w:val="00B43ACC"/>
    <w:rsid w:val="00B44A23"/>
    <w:rsid w:val="00B46AF3"/>
    <w:rsid w:val="00B46C25"/>
    <w:rsid w:val="00B47487"/>
    <w:rsid w:val="00B47801"/>
    <w:rsid w:val="00B50312"/>
    <w:rsid w:val="00B52793"/>
    <w:rsid w:val="00B52CFD"/>
    <w:rsid w:val="00B530C1"/>
    <w:rsid w:val="00B53515"/>
    <w:rsid w:val="00B5364E"/>
    <w:rsid w:val="00B55FBE"/>
    <w:rsid w:val="00B56FC4"/>
    <w:rsid w:val="00B571BC"/>
    <w:rsid w:val="00B57C68"/>
    <w:rsid w:val="00B60617"/>
    <w:rsid w:val="00B60840"/>
    <w:rsid w:val="00B611AB"/>
    <w:rsid w:val="00B6338A"/>
    <w:rsid w:val="00B6391D"/>
    <w:rsid w:val="00B64876"/>
    <w:rsid w:val="00B6764D"/>
    <w:rsid w:val="00B67A2D"/>
    <w:rsid w:val="00B703DE"/>
    <w:rsid w:val="00B713CA"/>
    <w:rsid w:val="00B71965"/>
    <w:rsid w:val="00B725F1"/>
    <w:rsid w:val="00B72676"/>
    <w:rsid w:val="00B728EF"/>
    <w:rsid w:val="00B73422"/>
    <w:rsid w:val="00B73980"/>
    <w:rsid w:val="00B741B6"/>
    <w:rsid w:val="00B755C2"/>
    <w:rsid w:val="00B75712"/>
    <w:rsid w:val="00B76264"/>
    <w:rsid w:val="00B76677"/>
    <w:rsid w:val="00B81961"/>
    <w:rsid w:val="00B84E23"/>
    <w:rsid w:val="00B851BC"/>
    <w:rsid w:val="00B8757A"/>
    <w:rsid w:val="00B875BC"/>
    <w:rsid w:val="00B87737"/>
    <w:rsid w:val="00B90537"/>
    <w:rsid w:val="00B906BA"/>
    <w:rsid w:val="00B9103D"/>
    <w:rsid w:val="00B91D2F"/>
    <w:rsid w:val="00B92FB0"/>
    <w:rsid w:val="00B92FFB"/>
    <w:rsid w:val="00B93363"/>
    <w:rsid w:val="00B949DA"/>
    <w:rsid w:val="00B94F5A"/>
    <w:rsid w:val="00B9578F"/>
    <w:rsid w:val="00B9720B"/>
    <w:rsid w:val="00B97818"/>
    <w:rsid w:val="00B97B31"/>
    <w:rsid w:val="00BA13DE"/>
    <w:rsid w:val="00BA20B4"/>
    <w:rsid w:val="00BA2AA3"/>
    <w:rsid w:val="00BA6436"/>
    <w:rsid w:val="00BA6C7F"/>
    <w:rsid w:val="00BA7D07"/>
    <w:rsid w:val="00BA7EFC"/>
    <w:rsid w:val="00BB079D"/>
    <w:rsid w:val="00BB09AC"/>
    <w:rsid w:val="00BB1938"/>
    <w:rsid w:val="00BB238E"/>
    <w:rsid w:val="00BB27D0"/>
    <w:rsid w:val="00BB5CAD"/>
    <w:rsid w:val="00BB5DAF"/>
    <w:rsid w:val="00BC08C0"/>
    <w:rsid w:val="00BC0C53"/>
    <w:rsid w:val="00BC0F9B"/>
    <w:rsid w:val="00BC2B62"/>
    <w:rsid w:val="00BC2FF0"/>
    <w:rsid w:val="00BC3AAE"/>
    <w:rsid w:val="00BC4EA1"/>
    <w:rsid w:val="00BC536C"/>
    <w:rsid w:val="00BC6B70"/>
    <w:rsid w:val="00BC6BD2"/>
    <w:rsid w:val="00BC7BC4"/>
    <w:rsid w:val="00BC7BE4"/>
    <w:rsid w:val="00BD0831"/>
    <w:rsid w:val="00BD0BF7"/>
    <w:rsid w:val="00BD4F35"/>
    <w:rsid w:val="00BD656F"/>
    <w:rsid w:val="00BD6AFD"/>
    <w:rsid w:val="00BD73D2"/>
    <w:rsid w:val="00BD7BAF"/>
    <w:rsid w:val="00BE0155"/>
    <w:rsid w:val="00BE0CA6"/>
    <w:rsid w:val="00BE1D57"/>
    <w:rsid w:val="00BE4B40"/>
    <w:rsid w:val="00BE68AB"/>
    <w:rsid w:val="00BF093E"/>
    <w:rsid w:val="00BF24D0"/>
    <w:rsid w:val="00BF27D5"/>
    <w:rsid w:val="00BF2F4A"/>
    <w:rsid w:val="00BF34D3"/>
    <w:rsid w:val="00BF5B39"/>
    <w:rsid w:val="00BF65D2"/>
    <w:rsid w:val="00BF7240"/>
    <w:rsid w:val="00BF72E8"/>
    <w:rsid w:val="00BF761C"/>
    <w:rsid w:val="00BF778E"/>
    <w:rsid w:val="00BF7AF1"/>
    <w:rsid w:val="00C001FA"/>
    <w:rsid w:val="00C02859"/>
    <w:rsid w:val="00C02F38"/>
    <w:rsid w:val="00C032CB"/>
    <w:rsid w:val="00C033A2"/>
    <w:rsid w:val="00C03F4B"/>
    <w:rsid w:val="00C04609"/>
    <w:rsid w:val="00C0483E"/>
    <w:rsid w:val="00C04C77"/>
    <w:rsid w:val="00C050A9"/>
    <w:rsid w:val="00C050EA"/>
    <w:rsid w:val="00C05760"/>
    <w:rsid w:val="00C05C4B"/>
    <w:rsid w:val="00C06E2E"/>
    <w:rsid w:val="00C06F12"/>
    <w:rsid w:val="00C075D9"/>
    <w:rsid w:val="00C07FF5"/>
    <w:rsid w:val="00C12BDB"/>
    <w:rsid w:val="00C14624"/>
    <w:rsid w:val="00C1586C"/>
    <w:rsid w:val="00C15ACF"/>
    <w:rsid w:val="00C15F1A"/>
    <w:rsid w:val="00C16451"/>
    <w:rsid w:val="00C16740"/>
    <w:rsid w:val="00C17A67"/>
    <w:rsid w:val="00C231B3"/>
    <w:rsid w:val="00C23E18"/>
    <w:rsid w:val="00C24377"/>
    <w:rsid w:val="00C24947"/>
    <w:rsid w:val="00C25352"/>
    <w:rsid w:val="00C259B8"/>
    <w:rsid w:val="00C26A59"/>
    <w:rsid w:val="00C26CC8"/>
    <w:rsid w:val="00C26D2E"/>
    <w:rsid w:val="00C30789"/>
    <w:rsid w:val="00C308BA"/>
    <w:rsid w:val="00C31237"/>
    <w:rsid w:val="00C31693"/>
    <w:rsid w:val="00C322BA"/>
    <w:rsid w:val="00C32792"/>
    <w:rsid w:val="00C330F7"/>
    <w:rsid w:val="00C347C0"/>
    <w:rsid w:val="00C3500E"/>
    <w:rsid w:val="00C3657F"/>
    <w:rsid w:val="00C3714A"/>
    <w:rsid w:val="00C400B8"/>
    <w:rsid w:val="00C41DFB"/>
    <w:rsid w:val="00C41F92"/>
    <w:rsid w:val="00C4348C"/>
    <w:rsid w:val="00C4353C"/>
    <w:rsid w:val="00C44D16"/>
    <w:rsid w:val="00C44E3D"/>
    <w:rsid w:val="00C45A9C"/>
    <w:rsid w:val="00C4792E"/>
    <w:rsid w:val="00C47D24"/>
    <w:rsid w:val="00C50582"/>
    <w:rsid w:val="00C510AC"/>
    <w:rsid w:val="00C51E65"/>
    <w:rsid w:val="00C51E8D"/>
    <w:rsid w:val="00C520AE"/>
    <w:rsid w:val="00C527BA"/>
    <w:rsid w:val="00C53032"/>
    <w:rsid w:val="00C5413C"/>
    <w:rsid w:val="00C54C1C"/>
    <w:rsid w:val="00C55D07"/>
    <w:rsid w:val="00C565ED"/>
    <w:rsid w:val="00C60F87"/>
    <w:rsid w:val="00C63314"/>
    <w:rsid w:val="00C6390A"/>
    <w:rsid w:val="00C64978"/>
    <w:rsid w:val="00C6514D"/>
    <w:rsid w:val="00C65A03"/>
    <w:rsid w:val="00C65CDD"/>
    <w:rsid w:val="00C67BEA"/>
    <w:rsid w:val="00C70DE5"/>
    <w:rsid w:val="00C71ED3"/>
    <w:rsid w:val="00C72953"/>
    <w:rsid w:val="00C736BE"/>
    <w:rsid w:val="00C73E36"/>
    <w:rsid w:val="00C75DE3"/>
    <w:rsid w:val="00C75F53"/>
    <w:rsid w:val="00C75FD9"/>
    <w:rsid w:val="00C77784"/>
    <w:rsid w:val="00C805A0"/>
    <w:rsid w:val="00C82520"/>
    <w:rsid w:val="00C835F5"/>
    <w:rsid w:val="00C83A03"/>
    <w:rsid w:val="00C83A51"/>
    <w:rsid w:val="00C8414A"/>
    <w:rsid w:val="00C84E53"/>
    <w:rsid w:val="00C85429"/>
    <w:rsid w:val="00C8631B"/>
    <w:rsid w:val="00C86B4C"/>
    <w:rsid w:val="00C90942"/>
    <w:rsid w:val="00C911A4"/>
    <w:rsid w:val="00C919C7"/>
    <w:rsid w:val="00C933AA"/>
    <w:rsid w:val="00C9391A"/>
    <w:rsid w:val="00C946AE"/>
    <w:rsid w:val="00C949B3"/>
    <w:rsid w:val="00C955FC"/>
    <w:rsid w:val="00C957DA"/>
    <w:rsid w:val="00CA07FE"/>
    <w:rsid w:val="00CA1664"/>
    <w:rsid w:val="00CA1A73"/>
    <w:rsid w:val="00CA1DC9"/>
    <w:rsid w:val="00CA2696"/>
    <w:rsid w:val="00CA292F"/>
    <w:rsid w:val="00CA2A59"/>
    <w:rsid w:val="00CA2BB5"/>
    <w:rsid w:val="00CA40F5"/>
    <w:rsid w:val="00CA4958"/>
    <w:rsid w:val="00CA6EFA"/>
    <w:rsid w:val="00CB05A4"/>
    <w:rsid w:val="00CB0C08"/>
    <w:rsid w:val="00CB0E6D"/>
    <w:rsid w:val="00CB1C8F"/>
    <w:rsid w:val="00CB23D0"/>
    <w:rsid w:val="00CB2D57"/>
    <w:rsid w:val="00CB2EC4"/>
    <w:rsid w:val="00CB6048"/>
    <w:rsid w:val="00CB654D"/>
    <w:rsid w:val="00CB69F5"/>
    <w:rsid w:val="00CB6A0B"/>
    <w:rsid w:val="00CB7160"/>
    <w:rsid w:val="00CB7B0B"/>
    <w:rsid w:val="00CB7BBE"/>
    <w:rsid w:val="00CC02F3"/>
    <w:rsid w:val="00CC0EB0"/>
    <w:rsid w:val="00CC195F"/>
    <w:rsid w:val="00CC1CF3"/>
    <w:rsid w:val="00CC2BD9"/>
    <w:rsid w:val="00CC2F1B"/>
    <w:rsid w:val="00CC3B57"/>
    <w:rsid w:val="00CC3ED6"/>
    <w:rsid w:val="00CC3FB6"/>
    <w:rsid w:val="00CC490F"/>
    <w:rsid w:val="00CC4D38"/>
    <w:rsid w:val="00CC5B46"/>
    <w:rsid w:val="00CC6535"/>
    <w:rsid w:val="00CC6E27"/>
    <w:rsid w:val="00CD0752"/>
    <w:rsid w:val="00CD2429"/>
    <w:rsid w:val="00CD3D8B"/>
    <w:rsid w:val="00CD57E5"/>
    <w:rsid w:val="00CD5BAA"/>
    <w:rsid w:val="00CD5FF2"/>
    <w:rsid w:val="00CD6733"/>
    <w:rsid w:val="00CD6C14"/>
    <w:rsid w:val="00CD7056"/>
    <w:rsid w:val="00CE08C5"/>
    <w:rsid w:val="00CE1479"/>
    <w:rsid w:val="00CE47AE"/>
    <w:rsid w:val="00CE49D7"/>
    <w:rsid w:val="00CE4AE0"/>
    <w:rsid w:val="00CE65B5"/>
    <w:rsid w:val="00CF0589"/>
    <w:rsid w:val="00CF12F6"/>
    <w:rsid w:val="00CF1A81"/>
    <w:rsid w:val="00CF3E35"/>
    <w:rsid w:val="00CF49F1"/>
    <w:rsid w:val="00D02E3A"/>
    <w:rsid w:val="00D032F5"/>
    <w:rsid w:val="00D03639"/>
    <w:rsid w:val="00D047F4"/>
    <w:rsid w:val="00D06005"/>
    <w:rsid w:val="00D072DD"/>
    <w:rsid w:val="00D07706"/>
    <w:rsid w:val="00D114EB"/>
    <w:rsid w:val="00D11AE0"/>
    <w:rsid w:val="00D11CEC"/>
    <w:rsid w:val="00D12019"/>
    <w:rsid w:val="00D12F64"/>
    <w:rsid w:val="00D134A4"/>
    <w:rsid w:val="00D13AE6"/>
    <w:rsid w:val="00D13C9C"/>
    <w:rsid w:val="00D14FD0"/>
    <w:rsid w:val="00D16683"/>
    <w:rsid w:val="00D17299"/>
    <w:rsid w:val="00D2049F"/>
    <w:rsid w:val="00D205E5"/>
    <w:rsid w:val="00D222A0"/>
    <w:rsid w:val="00D22AEE"/>
    <w:rsid w:val="00D2357D"/>
    <w:rsid w:val="00D24B4F"/>
    <w:rsid w:val="00D2519B"/>
    <w:rsid w:val="00D25DA2"/>
    <w:rsid w:val="00D266E5"/>
    <w:rsid w:val="00D26A6A"/>
    <w:rsid w:val="00D27A43"/>
    <w:rsid w:val="00D303C2"/>
    <w:rsid w:val="00D3052A"/>
    <w:rsid w:val="00D3098E"/>
    <w:rsid w:val="00D31E26"/>
    <w:rsid w:val="00D31FBC"/>
    <w:rsid w:val="00D32719"/>
    <w:rsid w:val="00D33722"/>
    <w:rsid w:val="00D342BD"/>
    <w:rsid w:val="00D34C0A"/>
    <w:rsid w:val="00D35692"/>
    <w:rsid w:val="00D363C8"/>
    <w:rsid w:val="00D36EDE"/>
    <w:rsid w:val="00D45D76"/>
    <w:rsid w:val="00D467C5"/>
    <w:rsid w:val="00D474F7"/>
    <w:rsid w:val="00D4765C"/>
    <w:rsid w:val="00D47E2B"/>
    <w:rsid w:val="00D500DD"/>
    <w:rsid w:val="00D521A3"/>
    <w:rsid w:val="00D554F2"/>
    <w:rsid w:val="00D561E5"/>
    <w:rsid w:val="00D567F9"/>
    <w:rsid w:val="00D579F9"/>
    <w:rsid w:val="00D6027E"/>
    <w:rsid w:val="00D60A01"/>
    <w:rsid w:val="00D61244"/>
    <w:rsid w:val="00D66406"/>
    <w:rsid w:val="00D667AE"/>
    <w:rsid w:val="00D6682A"/>
    <w:rsid w:val="00D66A73"/>
    <w:rsid w:val="00D6713C"/>
    <w:rsid w:val="00D674E2"/>
    <w:rsid w:val="00D706EB"/>
    <w:rsid w:val="00D73224"/>
    <w:rsid w:val="00D7409D"/>
    <w:rsid w:val="00D745FE"/>
    <w:rsid w:val="00D753F9"/>
    <w:rsid w:val="00D75741"/>
    <w:rsid w:val="00D75C49"/>
    <w:rsid w:val="00D76A1A"/>
    <w:rsid w:val="00D812DA"/>
    <w:rsid w:val="00D835B7"/>
    <w:rsid w:val="00D83C01"/>
    <w:rsid w:val="00D84737"/>
    <w:rsid w:val="00D86877"/>
    <w:rsid w:val="00D86CEE"/>
    <w:rsid w:val="00D92B1D"/>
    <w:rsid w:val="00D9385C"/>
    <w:rsid w:val="00D93F27"/>
    <w:rsid w:val="00D96AD1"/>
    <w:rsid w:val="00D976DE"/>
    <w:rsid w:val="00DA0386"/>
    <w:rsid w:val="00DA17B1"/>
    <w:rsid w:val="00DA2549"/>
    <w:rsid w:val="00DA2F79"/>
    <w:rsid w:val="00DA320D"/>
    <w:rsid w:val="00DA352B"/>
    <w:rsid w:val="00DA763A"/>
    <w:rsid w:val="00DB062D"/>
    <w:rsid w:val="00DB0BBA"/>
    <w:rsid w:val="00DB358B"/>
    <w:rsid w:val="00DB4F25"/>
    <w:rsid w:val="00DB694C"/>
    <w:rsid w:val="00DB6E91"/>
    <w:rsid w:val="00DB7B55"/>
    <w:rsid w:val="00DC0BF7"/>
    <w:rsid w:val="00DC1479"/>
    <w:rsid w:val="00DC1EE8"/>
    <w:rsid w:val="00DC2CCE"/>
    <w:rsid w:val="00DC3020"/>
    <w:rsid w:val="00DC3BE0"/>
    <w:rsid w:val="00DC451D"/>
    <w:rsid w:val="00DC617E"/>
    <w:rsid w:val="00DC6EE5"/>
    <w:rsid w:val="00DD0A03"/>
    <w:rsid w:val="00DD1752"/>
    <w:rsid w:val="00DD1E34"/>
    <w:rsid w:val="00DD2259"/>
    <w:rsid w:val="00DD33C6"/>
    <w:rsid w:val="00DD4965"/>
    <w:rsid w:val="00DD5904"/>
    <w:rsid w:val="00DD6B56"/>
    <w:rsid w:val="00DE0406"/>
    <w:rsid w:val="00DE1069"/>
    <w:rsid w:val="00DE1B3A"/>
    <w:rsid w:val="00DE1D43"/>
    <w:rsid w:val="00DE1FD9"/>
    <w:rsid w:val="00DE28E2"/>
    <w:rsid w:val="00DE3203"/>
    <w:rsid w:val="00DE3B3D"/>
    <w:rsid w:val="00DE5624"/>
    <w:rsid w:val="00DE5861"/>
    <w:rsid w:val="00DE5D4A"/>
    <w:rsid w:val="00DE64F0"/>
    <w:rsid w:val="00DE7386"/>
    <w:rsid w:val="00DE7DAA"/>
    <w:rsid w:val="00DF1664"/>
    <w:rsid w:val="00DF1E66"/>
    <w:rsid w:val="00DF4AA3"/>
    <w:rsid w:val="00DF4D99"/>
    <w:rsid w:val="00DF4F5D"/>
    <w:rsid w:val="00DF69D7"/>
    <w:rsid w:val="00DF7C92"/>
    <w:rsid w:val="00DF7FAA"/>
    <w:rsid w:val="00E0036A"/>
    <w:rsid w:val="00E0203A"/>
    <w:rsid w:val="00E05DF4"/>
    <w:rsid w:val="00E06946"/>
    <w:rsid w:val="00E07808"/>
    <w:rsid w:val="00E07D61"/>
    <w:rsid w:val="00E07F14"/>
    <w:rsid w:val="00E07F3E"/>
    <w:rsid w:val="00E10729"/>
    <w:rsid w:val="00E122AA"/>
    <w:rsid w:val="00E12B53"/>
    <w:rsid w:val="00E14F85"/>
    <w:rsid w:val="00E15D03"/>
    <w:rsid w:val="00E15F71"/>
    <w:rsid w:val="00E16143"/>
    <w:rsid w:val="00E16F30"/>
    <w:rsid w:val="00E20265"/>
    <w:rsid w:val="00E220A7"/>
    <w:rsid w:val="00E2295E"/>
    <w:rsid w:val="00E22E2D"/>
    <w:rsid w:val="00E23115"/>
    <w:rsid w:val="00E2360F"/>
    <w:rsid w:val="00E255A0"/>
    <w:rsid w:val="00E278B9"/>
    <w:rsid w:val="00E32DF5"/>
    <w:rsid w:val="00E32EDB"/>
    <w:rsid w:val="00E34FC1"/>
    <w:rsid w:val="00E35D35"/>
    <w:rsid w:val="00E36035"/>
    <w:rsid w:val="00E36AF6"/>
    <w:rsid w:val="00E36FB5"/>
    <w:rsid w:val="00E37438"/>
    <w:rsid w:val="00E4003A"/>
    <w:rsid w:val="00E4183E"/>
    <w:rsid w:val="00E42130"/>
    <w:rsid w:val="00E42637"/>
    <w:rsid w:val="00E4285E"/>
    <w:rsid w:val="00E433DF"/>
    <w:rsid w:val="00E43956"/>
    <w:rsid w:val="00E4694B"/>
    <w:rsid w:val="00E4772C"/>
    <w:rsid w:val="00E47959"/>
    <w:rsid w:val="00E51698"/>
    <w:rsid w:val="00E53613"/>
    <w:rsid w:val="00E53E84"/>
    <w:rsid w:val="00E53F98"/>
    <w:rsid w:val="00E5579C"/>
    <w:rsid w:val="00E55D67"/>
    <w:rsid w:val="00E562B9"/>
    <w:rsid w:val="00E56B82"/>
    <w:rsid w:val="00E56E50"/>
    <w:rsid w:val="00E57D98"/>
    <w:rsid w:val="00E60639"/>
    <w:rsid w:val="00E60E0E"/>
    <w:rsid w:val="00E61C5C"/>
    <w:rsid w:val="00E6211D"/>
    <w:rsid w:val="00E629AA"/>
    <w:rsid w:val="00E63C4A"/>
    <w:rsid w:val="00E646DE"/>
    <w:rsid w:val="00E6549C"/>
    <w:rsid w:val="00E65615"/>
    <w:rsid w:val="00E6708E"/>
    <w:rsid w:val="00E67152"/>
    <w:rsid w:val="00E6732B"/>
    <w:rsid w:val="00E707FF"/>
    <w:rsid w:val="00E70ABA"/>
    <w:rsid w:val="00E71343"/>
    <w:rsid w:val="00E71F3A"/>
    <w:rsid w:val="00E7240F"/>
    <w:rsid w:val="00E72A2D"/>
    <w:rsid w:val="00E741A1"/>
    <w:rsid w:val="00E74A2E"/>
    <w:rsid w:val="00E74C87"/>
    <w:rsid w:val="00E7568B"/>
    <w:rsid w:val="00E7592D"/>
    <w:rsid w:val="00E75BD0"/>
    <w:rsid w:val="00E75BD4"/>
    <w:rsid w:val="00E75D8A"/>
    <w:rsid w:val="00E76254"/>
    <w:rsid w:val="00E77C4E"/>
    <w:rsid w:val="00E814C8"/>
    <w:rsid w:val="00E81877"/>
    <w:rsid w:val="00E827BC"/>
    <w:rsid w:val="00E828A7"/>
    <w:rsid w:val="00E84B55"/>
    <w:rsid w:val="00E85636"/>
    <w:rsid w:val="00E87B3F"/>
    <w:rsid w:val="00E91B4B"/>
    <w:rsid w:val="00E93F3B"/>
    <w:rsid w:val="00E945E5"/>
    <w:rsid w:val="00E958F8"/>
    <w:rsid w:val="00EA1037"/>
    <w:rsid w:val="00EA10DB"/>
    <w:rsid w:val="00EA18F2"/>
    <w:rsid w:val="00EA2357"/>
    <w:rsid w:val="00EA29C8"/>
    <w:rsid w:val="00EA33BA"/>
    <w:rsid w:val="00EA44AD"/>
    <w:rsid w:val="00EA66DB"/>
    <w:rsid w:val="00EA6B4B"/>
    <w:rsid w:val="00EA6E54"/>
    <w:rsid w:val="00EA7A9B"/>
    <w:rsid w:val="00EA7DF5"/>
    <w:rsid w:val="00EB0975"/>
    <w:rsid w:val="00EB1DBB"/>
    <w:rsid w:val="00EB2A08"/>
    <w:rsid w:val="00EB2F2A"/>
    <w:rsid w:val="00EB356C"/>
    <w:rsid w:val="00EB3B6F"/>
    <w:rsid w:val="00EB5433"/>
    <w:rsid w:val="00EB6485"/>
    <w:rsid w:val="00EB73E8"/>
    <w:rsid w:val="00EB7FEE"/>
    <w:rsid w:val="00EC0480"/>
    <w:rsid w:val="00EC12BD"/>
    <w:rsid w:val="00EC24EA"/>
    <w:rsid w:val="00EC573D"/>
    <w:rsid w:val="00ED0BF4"/>
    <w:rsid w:val="00ED2990"/>
    <w:rsid w:val="00ED4C35"/>
    <w:rsid w:val="00ED6ABB"/>
    <w:rsid w:val="00ED730F"/>
    <w:rsid w:val="00ED7A19"/>
    <w:rsid w:val="00ED7E53"/>
    <w:rsid w:val="00EE1115"/>
    <w:rsid w:val="00EE2543"/>
    <w:rsid w:val="00EE2ABD"/>
    <w:rsid w:val="00EE39F6"/>
    <w:rsid w:val="00EE4A35"/>
    <w:rsid w:val="00EE5600"/>
    <w:rsid w:val="00EE6790"/>
    <w:rsid w:val="00EE6BBC"/>
    <w:rsid w:val="00EE71F4"/>
    <w:rsid w:val="00EE797E"/>
    <w:rsid w:val="00EF0BBB"/>
    <w:rsid w:val="00EF1047"/>
    <w:rsid w:val="00EF1730"/>
    <w:rsid w:val="00EF1BD8"/>
    <w:rsid w:val="00EF1C9E"/>
    <w:rsid w:val="00EF360B"/>
    <w:rsid w:val="00EF371B"/>
    <w:rsid w:val="00EF456A"/>
    <w:rsid w:val="00EF4B03"/>
    <w:rsid w:val="00EF71A4"/>
    <w:rsid w:val="00F00964"/>
    <w:rsid w:val="00F012D4"/>
    <w:rsid w:val="00F02066"/>
    <w:rsid w:val="00F031A1"/>
    <w:rsid w:val="00F03E53"/>
    <w:rsid w:val="00F03FD9"/>
    <w:rsid w:val="00F0408B"/>
    <w:rsid w:val="00F048B9"/>
    <w:rsid w:val="00F05504"/>
    <w:rsid w:val="00F07070"/>
    <w:rsid w:val="00F07F08"/>
    <w:rsid w:val="00F104EA"/>
    <w:rsid w:val="00F10C18"/>
    <w:rsid w:val="00F10EC8"/>
    <w:rsid w:val="00F10EDE"/>
    <w:rsid w:val="00F13F23"/>
    <w:rsid w:val="00F14CE1"/>
    <w:rsid w:val="00F20F08"/>
    <w:rsid w:val="00F211C0"/>
    <w:rsid w:val="00F215A0"/>
    <w:rsid w:val="00F215A6"/>
    <w:rsid w:val="00F2193B"/>
    <w:rsid w:val="00F23194"/>
    <w:rsid w:val="00F2369D"/>
    <w:rsid w:val="00F237E2"/>
    <w:rsid w:val="00F23A2A"/>
    <w:rsid w:val="00F23C5B"/>
    <w:rsid w:val="00F25312"/>
    <w:rsid w:val="00F26BCB"/>
    <w:rsid w:val="00F26EDC"/>
    <w:rsid w:val="00F27469"/>
    <w:rsid w:val="00F30E81"/>
    <w:rsid w:val="00F34050"/>
    <w:rsid w:val="00F34BAB"/>
    <w:rsid w:val="00F36F42"/>
    <w:rsid w:val="00F37734"/>
    <w:rsid w:val="00F41AAB"/>
    <w:rsid w:val="00F41D07"/>
    <w:rsid w:val="00F45C80"/>
    <w:rsid w:val="00F4697F"/>
    <w:rsid w:val="00F475D0"/>
    <w:rsid w:val="00F505A3"/>
    <w:rsid w:val="00F51791"/>
    <w:rsid w:val="00F5216A"/>
    <w:rsid w:val="00F528F8"/>
    <w:rsid w:val="00F53ABB"/>
    <w:rsid w:val="00F541F8"/>
    <w:rsid w:val="00F5432B"/>
    <w:rsid w:val="00F5551C"/>
    <w:rsid w:val="00F557DA"/>
    <w:rsid w:val="00F55B20"/>
    <w:rsid w:val="00F569FF"/>
    <w:rsid w:val="00F56F66"/>
    <w:rsid w:val="00F62ECB"/>
    <w:rsid w:val="00F63CB0"/>
    <w:rsid w:val="00F64111"/>
    <w:rsid w:val="00F646CE"/>
    <w:rsid w:val="00F6483E"/>
    <w:rsid w:val="00F663D0"/>
    <w:rsid w:val="00F665F6"/>
    <w:rsid w:val="00F70EAD"/>
    <w:rsid w:val="00F7170B"/>
    <w:rsid w:val="00F73B70"/>
    <w:rsid w:val="00F747BA"/>
    <w:rsid w:val="00F74FA6"/>
    <w:rsid w:val="00F753EF"/>
    <w:rsid w:val="00F80864"/>
    <w:rsid w:val="00F8150F"/>
    <w:rsid w:val="00F8210F"/>
    <w:rsid w:val="00F821DF"/>
    <w:rsid w:val="00F84197"/>
    <w:rsid w:val="00F846B4"/>
    <w:rsid w:val="00F847D9"/>
    <w:rsid w:val="00F84C72"/>
    <w:rsid w:val="00F84F56"/>
    <w:rsid w:val="00F85327"/>
    <w:rsid w:val="00F85832"/>
    <w:rsid w:val="00F87135"/>
    <w:rsid w:val="00F87AB1"/>
    <w:rsid w:val="00F907F6"/>
    <w:rsid w:val="00F922B4"/>
    <w:rsid w:val="00F924E5"/>
    <w:rsid w:val="00F93882"/>
    <w:rsid w:val="00F954E0"/>
    <w:rsid w:val="00F9739B"/>
    <w:rsid w:val="00F976B8"/>
    <w:rsid w:val="00FA0D19"/>
    <w:rsid w:val="00FA236B"/>
    <w:rsid w:val="00FA2B03"/>
    <w:rsid w:val="00FA31ED"/>
    <w:rsid w:val="00FA3822"/>
    <w:rsid w:val="00FA5B83"/>
    <w:rsid w:val="00FA5F25"/>
    <w:rsid w:val="00FA5F6B"/>
    <w:rsid w:val="00FA6B0A"/>
    <w:rsid w:val="00FA77E4"/>
    <w:rsid w:val="00FB1AFF"/>
    <w:rsid w:val="00FB2718"/>
    <w:rsid w:val="00FB28CA"/>
    <w:rsid w:val="00FB33B0"/>
    <w:rsid w:val="00FB6D3D"/>
    <w:rsid w:val="00FC00DF"/>
    <w:rsid w:val="00FC1052"/>
    <w:rsid w:val="00FC422E"/>
    <w:rsid w:val="00FC5653"/>
    <w:rsid w:val="00FC5884"/>
    <w:rsid w:val="00FD04FE"/>
    <w:rsid w:val="00FD1671"/>
    <w:rsid w:val="00FD1A32"/>
    <w:rsid w:val="00FD24B7"/>
    <w:rsid w:val="00FD4D81"/>
    <w:rsid w:val="00FD50BD"/>
    <w:rsid w:val="00FD5AE4"/>
    <w:rsid w:val="00FD6CC4"/>
    <w:rsid w:val="00FD7A6A"/>
    <w:rsid w:val="00FE18EA"/>
    <w:rsid w:val="00FE1D2D"/>
    <w:rsid w:val="00FE221B"/>
    <w:rsid w:val="00FE4834"/>
    <w:rsid w:val="00FE56C9"/>
    <w:rsid w:val="00FE5B32"/>
    <w:rsid w:val="00FE5E05"/>
    <w:rsid w:val="00FF0107"/>
    <w:rsid w:val="00FF10EB"/>
    <w:rsid w:val="00FF146F"/>
    <w:rsid w:val="00FF15F0"/>
    <w:rsid w:val="00FF1D8C"/>
    <w:rsid w:val="00FF28CB"/>
    <w:rsid w:val="00FF3635"/>
    <w:rsid w:val="00FF36A1"/>
    <w:rsid w:val="00FF4EAA"/>
    <w:rsid w:val="00FF54AA"/>
    <w:rsid w:val="00FF5BF8"/>
    <w:rsid w:val="00FF6159"/>
    <w:rsid w:val="00FF764B"/>
    <w:rsid w:val="3B087F1B"/>
  </w:rsid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99"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39" w:semiHidden="0" w:name="toc 1"/>
    <w:lsdException w:unhideWhenUsed="0" w:uiPriority="39" w:semiHidden="0" w:name="toc 2"/>
    <w:lsdException w:unhideWhenUsed="0" w:uiPriority="39" w:semiHidden="0" w:name="toc 3"/>
    <w:lsdException w:unhideWhenUsed="0" w:uiPriority="39" w:semiHidden="0" w:name="toc 4"/>
    <w:lsdException w:unhideWhenUsed="0" w:uiPriority="39" w:semiHidden="0" w:name="toc 5"/>
    <w:lsdException w:unhideWhenUsed="0" w:uiPriority="39" w:semiHidden="0" w:name="toc 6"/>
    <w:lsdException w:unhideWhenUsed="0" w:uiPriority="39" w:semiHidden="0" w:name="toc 7"/>
    <w:lsdException w:unhideWhenUsed="0" w:uiPriority="39" w:semiHidden="0" w:name="toc 8"/>
    <w:lsdException w:unhideWhenUsed="0" w:uiPriority="39" w:semiHidden="0" w:name="toc 9"/>
    <w:lsdException w:unhideWhenUsed="0" w:uiPriority="0" w:semiHidden="0" w:name="Normal Indent"/>
    <w:lsdException w:unhideWhenUsed="0" w:uiPriority="0" w:semiHidden="0" w:name="footnote text"/>
    <w:lsdException w:unhideWhenUsed="0" w:uiPriority="0" w:name="annotation text"/>
    <w:lsdException w:unhideWhenUsed="0" w:uiPriority="99" w:semiHidden="0" w:name="header"/>
    <w:lsdException w:unhideWhenUsed="0" w:uiPriority="99" w:semiHidden="0" w:name="footer"/>
    <w:lsdException w:unhideWhenUsed="0" w:uiPriority="0" w:semiHidden="0" w:name="index heading"/>
    <w:lsdException w:qFormat="1" w:unhideWhenUsed="0" w:uiPriority="99"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99"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99" w:semiHidden="0" w:name="Body Text First Indent"/>
    <w:lsdException w:unhideWhenUsed="0"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99" w:semiHidden="0" w:name="Body Text Indent 2"/>
    <w:lsdException w:unhideWhenUsed="0" w:uiPriority="99" w:semiHidden="0" w:name="Body Text Indent 3"/>
    <w:lsdException w:unhideWhenUsed="0" w:uiPriority="0" w:semiHidden="0" w:name="Block Text"/>
    <w:lsdException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99" w:name="Document Map"/>
    <w:lsdException w:qFormat="1" w:unhideWhenUsed="0" w:uiPriority="99" w:semiHidden="0" w:name="Plain Text"/>
    <w:lsdException w:unhideWhenUsed="0" w:uiPriority="0" w:semiHidden="0" w:name="E-mail Signature"/>
    <w:lsdException w:unhideWhenUsed="0" w:uiPriority="0" w:semiHidden="0" w:name=""/>
    <w:lsdException w:unhideWhenUsed="0" w:uiPriority="0" w:semiHidden="0" w:name=""/>
    <w:lsdException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99"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99" w:name="Balloon Text"/>
    <w:lsdException w:unhideWhenUsed="0" w:uiPriority="9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99" w:nam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kern w:val="2"/>
      <w:sz w:val="21"/>
      <w:szCs w:val="24"/>
      <w:lang w:val="en-US" w:eastAsia="zh-CN" w:bidi="ar-SA"/>
    </w:rPr>
  </w:style>
  <w:style w:type="paragraph" w:styleId="2">
    <w:name w:val="heading 1"/>
    <w:basedOn w:val="1"/>
    <w:next w:val="1"/>
    <w:link w:val="271"/>
    <w:qFormat/>
    <w:uiPriority w:val="0"/>
    <w:pPr>
      <w:keepNext/>
      <w:keepLines/>
      <w:adjustRightInd w:val="0"/>
      <w:spacing w:before="120" w:after="120" w:line="580" w:lineRule="exact"/>
      <w:textAlignment w:val="baseline"/>
      <w:outlineLvl w:val="0"/>
    </w:pPr>
    <w:rPr>
      <w:rFonts w:eastAsia="黑体"/>
      <w:color w:val="0000FF"/>
      <w:kern w:val="44"/>
      <w:sz w:val="44"/>
      <w:szCs w:val="20"/>
    </w:rPr>
  </w:style>
  <w:style w:type="paragraph" w:styleId="3">
    <w:name w:val="heading 2"/>
    <w:basedOn w:val="1"/>
    <w:next w:val="1"/>
    <w:link w:val="272"/>
    <w:qFormat/>
    <w:uiPriority w:val="0"/>
    <w:pPr>
      <w:keepNext/>
      <w:keepLines/>
      <w:spacing w:before="260" w:after="260" w:line="416" w:lineRule="auto"/>
      <w:outlineLvl w:val="1"/>
    </w:pPr>
    <w:rPr>
      <w:rFonts w:ascii="黑体" w:hAnsi="Arial" w:eastAsia="黑体"/>
      <w:sz w:val="32"/>
      <w:szCs w:val="32"/>
    </w:rPr>
  </w:style>
  <w:style w:type="paragraph" w:styleId="4">
    <w:name w:val="heading 3"/>
    <w:basedOn w:val="1"/>
    <w:next w:val="1"/>
    <w:link w:val="273"/>
    <w:qFormat/>
    <w:uiPriority w:val="0"/>
    <w:pPr>
      <w:keepNext/>
      <w:keepLines/>
      <w:spacing w:before="260" w:after="260" w:line="416" w:lineRule="auto"/>
      <w:outlineLvl w:val="2"/>
    </w:pPr>
    <w:rPr>
      <w:b/>
      <w:bCs/>
      <w:sz w:val="32"/>
      <w:szCs w:val="32"/>
    </w:rPr>
  </w:style>
  <w:style w:type="paragraph" w:styleId="5">
    <w:name w:val="heading 4"/>
    <w:basedOn w:val="1"/>
    <w:next w:val="1"/>
    <w:link w:val="290"/>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qFormat/>
    <w:uiPriority w:val="0"/>
    <w:pPr>
      <w:keepNext/>
      <w:keepLines/>
      <w:spacing w:before="280" w:after="290" w:line="376" w:lineRule="auto"/>
      <w:outlineLvl w:val="4"/>
    </w:pPr>
    <w:rPr>
      <w:b/>
      <w:bCs/>
      <w:sz w:val="28"/>
      <w:szCs w:val="28"/>
    </w:rPr>
  </w:style>
  <w:style w:type="paragraph" w:styleId="7">
    <w:name w:val="heading 6"/>
    <w:basedOn w:val="1"/>
    <w:next w:val="1"/>
    <w:link w:val="286"/>
    <w:qFormat/>
    <w:uiPriority w:val="0"/>
    <w:pPr>
      <w:spacing w:line="500" w:lineRule="atLeast"/>
      <w:outlineLvl w:val="5"/>
    </w:pPr>
    <w:rPr>
      <w:sz w:val="28"/>
      <w:szCs w:val="20"/>
    </w:rPr>
  </w:style>
  <w:style w:type="paragraph" w:styleId="8">
    <w:name w:val="heading 7"/>
    <w:basedOn w:val="1"/>
    <w:next w:val="1"/>
    <w:link w:val="287"/>
    <w:qFormat/>
    <w:uiPriority w:val="0"/>
    <w:pPr>
      <w:outlineLvl w:val="6"/>
    </w:pPr>
    <w:rPr>
      <w:sz w:val="28"/>
      <w:szCs w:val="20"/>
    </w:rPr>
  </w:style>
  <w:style w:type="paragraph" w:styleId="9">
    <w:name w:val="heading 8"/>
    <w:basedOn w:val="1"/>
    <w:next w:val="1"/>
    <w:link w:val="288"/>
    <w:qFormat/>
    <w:uiPriority w:val="0"/>
    <w:pPr>
      <w:outlineLvl w:val="7"/>
    </w:pPr>
    <w:rPr>
      <w:sz w:val="28"/>
      <w:szCs w:val="20"/>
    </w:rPr>
  </w:style>
  <w:style w:type="paragraph" w:styleId="10">
    <w:name w:val="heading 9"/>
    <w:basedOn w:val="1"/>
    <w:next w:val="1"/>
    <w:link w:val="289"/>
    <w:qFormat/>
    <w:uiPriority w:val="0"/>
    <w:pPr>
      <w:keepNext/>
      <w:keepLines/>
      <w:tabs>
        <w:tab w:val="left" w:pos="2160"/>
      </w:tabs>
      <w:spacing w:before="240" w:after="64" w:line="320" w:lineRule="auto"/>
      <w:ind w:left="1584" w:hanging="1584"/>
      <w:outlineLvl w:val="8"/>
    </w:pPr>
    <w:rPr>
      <w:rFonts w:ascii="Arial" w:hAnsi="Arial" w:eastAsia="黑体"/>
      <w:sz w:val="28"/>
      <w:szCs w:val="20"/>
    </w:rPr>
  </w:style>
  <w:style w:type="character" w:default="1" w:styleId="52">
    <w:name w:val="Default Paragraph Font"/>
    <w:semiHidden/>
    <w:uiPriority w:val="0"/>
  </w:style>
  <w:style w:type="table" w:default="1" w:styleId="59">
    <w:name w:val="Normal Table"/>
    <w:semiHidden/>
    <w:uiPriority w:val="0"/>
    <w:tblPr>
      <w:tblStyle w:val="59"/>
      <w:tblLayout w:type="fixed"/>
      <w:tblCellMar>
        <w:top w:w="0" w:type="dxa"/>
        <w:left w:w="108" w:type="dxa"/>
        <w:bottom w:w="0" w:type="dxa"/>
        <w:right w:w="108" w:type="dxa"/>
      </w:tblCellMar>
    </w:tblPr>
    <w:tcPr>
      <w:textDirection w:val="lrTb"/>
    </w:tcPr>
  </w:style>
  <w:style w:type="paragraph" w:styleId="11">
    <w:name w:val="List 3"/>
    <w:basedOn w:val="1"/>
    <w:uiPriority w:val="0"/>
    <w:pPr>
      <w:ind w:left="100" w:leftChars="400" w:hanging="200" w:hangingChars="200"/>
    </w:pPr>
  </w:style>
  <w:style w:type="paragraph" w:styleId="12">
    <w:name w:val="annotation subject"/>
    <w:basedOn w:val="13"/>
    <w:next w:val="13"/>
    <w:link w:val="339"/>
    <w:semiHidden/>
    <w:uiPriority w:val="99"/>
    <w:rPr>
      <w:b/>
      <w:bCs/>
    </w:rPr>
  </w:style>
  <w:style w:type="paragraph" w:styleId="13">
    <w:name w:val="annotation text"/>
    <w:basedOn w:val="1"/>
    <w:link w:val="285"/>
    <w:semiHidden/>
    <w:uiPriority w:val="0"/>
    <w:pPr>
      <w:jc w:val="left"/>
    </w:pPr>
  </w:style>
  <w:style w:type="paragraph" w:styleId="14">
    <w:name w:val="toc 7"/>
    <w:basedOn w:val="1"/>
    <w:next w:val="1"/>
    <w:uiPriority w:val="39"/>
    <w:pPr>
      <w:spacing w:line="500" w:lineRule="atLeast"/>
      <w:ind w:left="1680"/>
      <w:jc w:val="left"/>
    </w:pPr>
    <w:rPr>
      <w:sz w:val="18"/>
      <w:szCs w:val="18"/>
    </w:rPr>
  </w:style>
  <w:style w:type="paragraph" w:styleId="15">
    <w:name w:val="Body Text First Indent"/>
    <w:basedOn w:val="16"/>
    <w:link w:val="278"/>
    <w:uiPriority w:val="99"/>
    <w:pPr>
      <w:spacing w:after="120" w:line="240" w:lineRule="auto"/>
      <w:ind w:right="0" w:firstLine="420" w:firstLineChars="100"/>
    </w:pPr>
    <w:rPr>
      <w:rFonts w:ascii="Times New Roman"/>
      <w:sz w:val="21"/>
      <w:szCs w:val="24"/>
    </w:rPr>
  </w:style>
  <w:style w:type="paragraph" w:styleId="16">
    <w:name w:val="Body Text"/>
    <w:basedOn w:val="1"/>
    <w:link w:val="277"/>
    <w:uiPriority w:val="0"/>
    <w:pPr>
      <w:spacing w:line="240" w:lineRule="atLeast"/>
      <w:ind w:right="-154"/>
    </w:pPr>
    <w:rPr>
      <w:rFonts w:ascii="宋体"/>
      <w:sz w:val="24"/>
      <w:szCs w:val="20"/>
    </w:rPr>
  </w:style>
  <w:style w:type="paragraph" w:styleId="17">
    <w:name w:val="Note Heading"/>
    <w:basedOn w:val="1"/>
    <w:next w:val="1"/>
    <w:link w:val="334"/>
    <w:uiPriority w:val="0"/>
    <w:pPr>
      <w:jc w:val="center"/>
    </w:pPr>
    <w:rPr>
      <w:szCs w:val="20"/>
    </w:rPr>
  </w:style>
  <w:style w:type="paragraph" w:styleId="18">
    <w:name w:val="List Number"/>
    <w:basedOn w:val="1"/>
    <w:uiPriority w:val="0"/>
    <w:pPr>
      <w:numPr>
        <w:ilvl w:val="0"/>
        <w:numId w:val="1"/>
      </w:numPr>
      <w:tabs>
        <w:tab w:val="left" w:pos="425"/>
      </w:tabs>
      <w:adjustRightInd w:val="0"/>
      <w:snapToGrid w:val="0"/>
      <w:spacing w:line="300" w:lineRule="auto"/>
    </w:pPr>
    <w:rPr>
      <w:sz w:val="24"/>
    </w:rPr>
  </w:style>
  <w:style w:type="paragraph" w:styleId="19">
    <w:name w:val="Normal Indent"/>
    <w:basedOn w:val="1"/>
    <w:link w:val="266"/>
    <w:uiPriority w:val="0"/>
    <w:pPr>
      <w:ind w:firstLine="420" w:firstLineChars="200"/>
    </w:pPr>
  </w:style>
  <w:style w:type="paragraph" w:styleId="20">
    <w:name w:val="caption"/>
    <w:basedOn w:val="1"/>
    <w:next w:val="1"/>
    <w:qFormat/>
    <w:uiPriority w:val="99"/>
    <w:pPr>
      <w:spacing w:before="152" w:after="160"/>
    </w:pPr>
    <w:rPr>
      <w:rFonts w:ascii="Arial" w:hAnsi="Arial" w:eastAsia="黑体" w:cs="Arial"/>
      <w:sz w:val="20"/>
      <w:szCs w:val="20"/>
    </w:rPr>
  </w:style>
  <w:style w:type="paragraph" w:styleId="21">
    <w:name w:val="Document Map"/>
    <w:basedOn w:val="1"/>
    <w:link w:val="338"/>
    <w:semiHidden/>
    <w:uiPriority w:val="99"/>
    <w:pPr>
      <w:shd w:val="clear" w:color="auto" w:fill="000080"/>
    </w:pPr>
  </w:style>
  <w:style w:type="paragraph" w:styleId="22">
    <w:name w:val="Body Text 3"/>
    <w:basedOn w:val="1"/>
    <w:link w:val="307"/>
    <w:uiPriority w:val="0"/>
    <w:pPr>
      <w:spacing w:after="120"/>
    </w:pPr>
    <w:rPr>
      <w:sz w:val="16"/>
      <w:szCs w:val="16"/>
    </w:rPr>
  </w:style>
  <w:style w:type="paragraph" w:styleId="23">
    <w:name w:val="Body Text Indent"/>
    <w:basedOn w:val="1"/>
    <w:link w:val="305"/>
    <w:uiPriority w:val="99"/>
    <w:pPr>
      <w:spacing w:line="360" w:lineRule="auto"/>
      <w:ind w:firstLine="540" w:firstLineChars="225"/>
    </w:pPr>
    <w:rPr>
      <w:rFonts w:ascii="仿宋_GB2312" w:eastAsia="仿宋_GB2312"/>
      <w:color w:val="FF0000"/>
      <w:sz w:val="24"/>
    </w:rPr>
  </w:style>
  <w:style w:type="paragraph" w:styleId="24">
    <w:name w:val="List 2"/>
    <w:basedOn w:val="1"/>
    <w:uiPriority w:val="0"/>
    <w:pPr>
      <w:ind w:left="100" w:leftChars="200" w:hanging="200" w:hangingChars="200"/>
    </w:pPr>
  </w:style>
  <w:style w:type="paragraph" w:styleId="25">
    <w:name w:val="List Continue"/>
    <w:basedOn w:val="1"/>
    <w:uiPriority w:val="0"/>
    <w:pPr>
      <w:spacing w:after="120"/>
      <w:ind w:left="420" w:leftChars="200"/>
    </w:pPr>
  </w:style>
  <w:style w:type="paragraph" w:styleId="26">
    <w:name w:val="Block Text"/>
    <w:basedOn w:val="1"/>
    <w:uiPriority w:val="0"/>
    <w:pPr>
      <w:spacing w:after="120" w:line="500" w:lineRule="atLeast"/>
      <w:ind w:left="1440" w:leftChars="700" w:right="1440" w:rightChars="700"/>
    </w:pPr>
    <w:rPr>
      <w:sz w:val="28"/>
      <w:szCs w:val="20"/>
    </w:rPr>
  </w:style>
  <w:style w:type="paragraph" w:styleId="27">
    <w:name w:val="List Bullet 2"/>
    <w:basedOn w:val="1"/>
    <w:uiPriority w:val="0"/>
    <w:pPr>
      <w:tabs>
        <w:tab w:val="left" w:pos="780"/>
      </w:tabs>
      <w:ind w:left="780" w:leftChars="200" w:hanging="360" w:hangingChars="200"/>
    </w:pPr>
  </w:style>
  <w:style w:type="paragraph" w:styleId="28">
    <w:name w:val="toc 5"/>
    <w:basedOn w:val="1"/>
    <w:next w:val="1"/>
    <w:uiPriority w:val="39"/>
    <w:pPr>
      <w:spacing w:line="500" w:lineRule="atLeast"/>
      <w:ind w:left="1120"/>
      <w:jc w:val="left"/>
    </w:pPr>
    <w:rPr>
      <w:sz w:val="18"/>
      <w:szCs w:val="18"/>
    </w:rPr>
  </w:style>
  <w:style w:type="paragraph" w:styleId="29">
    <w:name w:val="toc 3"/>
    <w:basedOn w:val="1"/>
    <w:next w:val="1"/>
    <w:uiPriority w:val="39"/>
    <w:pPr>
      <w:ind w:left="840" w:leftChars="400"/>
    </w:pPr>
  </w:style>
  <w:style w:type="paragraph" w:styleId="30">
    <w:name w:val="Plain Text"/>
    <w:basedOn w:val="1"/>
    <w:link w:val="274"/>
    <w:qFormat/>
    <w:uiPriority w:val="99"/>
    <w:rPr>
      <w:rFonts w:ascii="宋体" w:hAnsi="Courier New"/>
      <w:bCs/>
      <w:sz w:val="28"/>
      <w:szCs w:val="21"/>
    </w:rPr>
  </w:style>
  <w:style w:type="paragraph" w:styleId="31">
    <w:name w:val="toc 8"/>
    <w:basedOn w:val="1"/>
    <w:next w:val="1"/>
    <w:uiPriority w:val="39"/>
    <w:pPr>
      <w:spacing w:line="500" w:lineRule="atLeast"/>
      <w:ind w:left="1960"/>
      <w:jc w:val="left"/>
    </w:pPr>
    <w:rPr>
      <w:sz w:val="18"/>
      <w:szCs w:val="18"/>
    </w:rPr>
  </w:style>
  <w:style w:type="paragraph" w:styleId="32">
    <w:name w:val="Date"/>
    <w:basedOn w:val="1"/>
    <w:next w:val="1"/>
    <w:link w:val="280"/>
    <w:uiPriority w:val="0"/>
    <w:pPr>
      <w:ind w:left="100" w:leftChars="2500"/>
    </w:pPr>
  </w:style>
  <w:style w:type="paragraph" w:styleId="33">
    <w:name w:val="Body Text Indent 2"/>
    <w:basedOn w:val="1"/>
    <w:link w:val="293"/>
    <w:uiPriority w:val="99"/>
    <w:pPr>
      <w:spacing w:after="120" w:line="480" w:lineRule="auto"/>
      <w:ind w:left="420" w:leftChars="200"/>
    </w:pPr>
  </w:style>
  <w:style w:type="paragraph" w:styleId="34">
    <w:name w:val="Balloon Text"/>
    <w:basedOn w:val="1"/>
    <w:link w:val="340"/>
    <w:semiHidden/>
    <w:uiPriority w:val="99"/>
    <w:rPr>
      <w:sz w:val="18"/>
      <w:szCs w:val="18"/>
    </w:rPr>
  </w:style>
  <w:style w:type="paragraph" w:styleId="35">
    <w:name w:val="footer"/>
    <w:basedOn w:val="1"/>
    <w:link w:val="291"/>
    <w:uiPriority w:val="99"/>
    <w:pPr>
      <w:tabs>
        <w:tab w:val="center" w:pos="4153"/>
        <w:tab w:val="right" w:pos="8306"/>
      </w:tabs>
      <w:adjustRightInd w:val="0"/>
      <w:jc w:val="left"/>
      <w:textAlignment w:val="baseline"/>
    </w:pPr>
    <w:rPr>
      <w:sz w:val="18"/>
      <w:szCs w:val="20"/>
    </w:rPr>
  </w:style>
  <w:style w:type="paragraph" w:styleId="36">
    <w:name w:val="Body Text First Indent 2"/>
    <w:basedOn w:val="23"/>
    <w:link w:val="306"/>
    <w:uiPriority w:val="99"/>
    <w:pPr>
      <w:adjustRightInd w:val="0"/>
      <w:snapToGrid w:val="0"/>
      <w:spacing w:after="120" w:line="312" w:lineRule="auto"/>
      <w:ind w:left="420" w:leftChars="200" w:firstLine="420" w:firstLineChars="200"/>
    </w:pPr>
    <w:rPr>
      <w:sz w:val="28"/>
    </w:rPr>
  </w:style>
  <w:style w:type="paragraph" w:styleId="37">
    <w:name w:val="header"/>
    <w:basedOn w:val="1"/>
    <w:link w:val="284"/>
    <w:uiPriority w:val="99"/>
    <w:pPr>
      <w:pBdr>
        <w:bottom w:val="single" w:color="auto" w:sz="6" w:space="1"/>
      </w:pBdr>
      <w:tabs>
        <w:tab w:val="center" w:pos="4153"/>
        <w:tab w:val="right" w:pos="8306"/>
      </w:tabs>
      <w:snapToGrid w:val="0"/>
      <w:jc w:val="center"/>
    </w:pPr>
    <w:rPr>
      <w:sz w:val="18"/>
      <w:szCs w:val="18"/>
    </w:rPr>
  </w:style>
  <w:style w:type="paragraph" w:styleId="38">
    <w:name w:val="toc 1"/>
    <w:basedOn w:val="1"/>
    <w:next w:val="1"/>
    <w:uiPriority w:val="39"/>
  </w:style>
  <w:style w:type="paragraph" w:styleId="39">
    <w:name w:val="toc 4"/>
    <w:basedOn w:val="1"/>
    <w:next w:val="1"/>
    <w:uiPriority w:val="39"/>
    <w:pPr>
      <w:spacing w:line="500" w:lineRule="atLeast"/>
      <w:ind w:left="840"/>
      <w:jc w:val="left"/>
    </w:pPr>
    <w:rPr>
      <w:sz w:val="18"/>
      <w:szCs w:val="18"/>
    </w:rPr>
  </w:style>
  <w:style w:type="paragraph" w:styleId="40">
    <w:name w:val="Subtitle"/>
    <w:basedOn w:val="1"/>
    <w:next w:val="1"/>
    <w:link w:val="279"/>
    <w:qFormat/>
    <w:uiPriority w:val="0"/>
    <w:pPr>
      <w:spacing w:before="240" w:after="60" w:line="312" w:lineRule="auto"/>
      <w:jc w:val="center"/>
      <w:outlineLvl w:val="1"/>
    </w:pPr>
    <w:rPr>
      <w:rFonts w:ascii="Cambria" w:hAnsi="Cambria"/>
      <w:b/>
      <w:bCs/>
      <w:kern w:val="28"/>
      <w:sz w:val="32"/>
      <w:szCs w:val="32"/>
    </w:rPr>
  </w:style>
  <w:style w:type="paragraph" w:styleId="41">
    <w:name w:val="List"/>
    <w:basedOn w:val="1"/>
    <w:uiPriority w:val="99"/>
    <w:pPr>
      <w:snapToGrid w:val="0"/>
      <w:spacing w:line="520" w:lineRule="exact"/>
      <w:jc w:val="left"/>
    </w:pPr>
    <w:rPr>
      <w:szCs w:val="20"/>
    </w:rPr>
  </w:style>
  <w:style w:type="paragraph" w:styleId="42">
    <w:name w:val="toc 6"/>
    <w:basedOn w:val="1"/>
    <w:next w:val="1"/>
    <w:uiPriority w:val="39"/>
    <w:pPr>
      <w:spacing w:line="500" w:lineRule="atLeast"/>
      <w:ind w:left="1400"/>
      <w:jc w:val="left"/>
    </w:pPr>
    <w:rPr>
      <w:sz w:val="18"/>
      <w:szCs w:val="18"/>
    </w:rPr>
  </w:style>
  <w:style w:type="paragraph" w:styleId="43">
    <w:name w:val="Body Text Indent 3"/>
    <w:basedOn w:val="1"/>
    <w:link w:val="281"/>
    <w:uiPriority w:val="99"/>
    <w:pPr>
      <w:spacing w:after="120"/>
      <w:ind w:left="420" w:leftChars="200"/>
    </w:pPr>
    <w:rPr>
      <w:sz w:val="16"/>
      <w:szCs w:val="16"/>
    </w:rPr>
  </w:style>
  <w:style w:type="paragraph" w:styleId="44">
    <w:name w:val="toc 2"/>
    <w:basedOn w:val="1"/>
    <w:next w:val="1"/>
    <w:uiPriority w:val="39"/>
    <w:pPr>
      <w:ind w:left="420" w:leftChars="200"/>
    </w:pPr>
  </w:style>
  <w:style w:type="paragraph" w:styleId="45">
    <w:name w:val="toc 9"/>
    <w:basedOn w:val="1"/>
    <w:next w:val="1"/>
    <w:uiPriority w:val="39"/>
    <w:pPr>
      <w:spacing w:line="500" w:lineRule="atLeast"/>
      <w:ind w:left="2240"/>
      <w:jc w:val="left"/>
    </w:pPr>
    <w:rPr>
      <w:sz w:val="18"/>
      <w:szCs w:val="18"/>
    </w:rPr>
  </w:style>
  <w:style w:type="paragraph" w:styleId="46">
    <w:name w:val="Body Text 2"/>
    <w:basedOn w:val="1"/>
    <w:link w:val="313"/>
    <w:uiPriority w:val="0"/>
    <w:pPr>
      <w:spacing w:after="120" w:line="480" w:lineRule="auto"/>
    </w:pPr>
  </w:style>
  <w:style w:type="paragraph" w:styleId="47">
    <w:name w:val="List Continue 2"/>
    <w:basedOn w:val="1"/>
    <w:uiPriority w:val="0"/>
    <w:pPr>
      <w:spacing w:after="120"/>
      <w:ind w:left="840" w:leftChars="400"/>
    </w:pPr>
  </w:style>
  <w:style w:type="paragraph" w:styleId="48">
    <w:name w:val="HTML Preformatted"/>
    <w:basedOn w:val="1"/>
    <w:link w:val="321"/>
    <w:uiPriority w:val="0"/>
    <w:pPr>
      <w:adjustRightInd w:val="0"/>
      <w:snapToGrid w:val="0"/>
      <w:spacing w:line="360" w:lineRule="auto"/>
    </w:pPr>
    <w:rPr>
      <w:rFonts w:ascii="Courier New" w:hAnsi="Courier New"/>
      <w:sz w:val="20"/>
      <w:szCs w:val="20"/>
    </w:rPr>
  </w:style>
  <w:style w:type="paragraph" w:styleId="49">
    <w:name w:val="Normal (Web)"/>
    <w:basedOn w:val="1"/>
    <w:uiPriority w:val="99"/>
    <w:pPr>
      <w:widowControl/>
      <w:spacing w:before="100" w:beforeAutospacing="1" w:after="100" w:afterAutospacing="1" w:line="312" w:lineRule="auto"/>
      <w:jc w:val="left"/>
    </w:pPr>
    <w:rPr>
      <w:rFonts w:ascii="ˎ̥" w:hAnsi="ˎ̥" w:cs="宋体"/>
      <w:color w:val="000000"/>
      <w:kern w:val="0"/>
      <w:sz w:val="18"/>
      <w:szCs w:val="18"/>
    </w:rPr>
  </w:style>
  <w:style w:type="paragraph" w:styleId="50">
    <w:name w:val="index 1"/>
    <w:basedOn w:val="1"/>
    <w:next w:val="1"/>
    <w:uiPriority w:val="99"/>
    <w:pPr>
      <w:framePr w:hSpace="180" w:wrap="notBeside" w:vAnchor="text" w:hAnchor="margin" w:xAlign="center" w:y="469"/>
      <w:tabs>
        <w:tab w:val="left" w:pos="15660"/>
      </w:tabs>
      <w:spacing w:line="240" w:lineRule="exact"/>
      <w:ind w:right="598" w:rightChars="285"/>
    </w:pPr>
    <w:rPr>
      <w:rFonts w:ascii="宋体"/>
      <w:color w:val="000000"/>
      <w:spacing w:val="-20"/>
      <w:sz w:val="18"/>
    </w:rPr>
  </w:style>
  <w:style w:type="paragraph" w:styleId="51">
    <w:name w:val="Title"/>
    <w:basedOn w:val="1"/>
    <w:link w:val="316"/>
    <w:qFormat/>
    <w:uiPriority w:val="0"/>
    <w:pPr>
      <w:adjustRightInd w:val="0"/>
      <w:snapToGrid w:val="0"/>
      <w:spacing w:before="240" w:after="240" w:line="300" w:lineRule="auto"/>
      <w:jc w:val="left"/>
      <w:outlineLvl w:val="0"/>
    </w:pPr>
    <w:rPr>
      <w:rFonts w:hAnsi="Arial"/>
      <w:b/>
      <w:bCs/>
      <w:sz w:val="32"/>
      <w:szCs w:val="32"/>
    </w:rPr>
  </w:style>
  <w:style w:type="character" w:styleId="53">
    <w:name w:val="Strong"/>
    <w:qFormat/>
    <w:uiPriority w:val="0"/>
    <w:rPr>
      <w:b/>
      <w:bCs/>
    </w:rPr>
  </w:style>
  <w:style w:type="character" w:styleId="54">
    <w:name w:val="page number"/>
    <w:uiPriority w:val="0"/>
    <w:rPr>
      <w:rFonts w:ascii="宋体" w:hAnsi="宋体" w:eastAsia="宋体"/>
    </w:rPr>
  </w:style>
  <w:style w:type="character" w:styleId="55">
    <w:name w:val="FollowedHyperlink"/>
    <w:uiPriority w:val="0"/>
    <w:rPr>
      <w:color w:val="800080"/>
      <w:u w:val="single"/>
    </w:rPr>
  </w:style>
  <w:style w:type="character" w:styleId="56">
    <w:name w:val="Emphasis"/>
    <w:qFormat/>
    <w:uiPriority w:val="0"/>
    <w:rPr>
      <w:color w:val="CC0033"/>
    </w:rPr>
  </w:style>
  <w:style w:type="character" w:styleId="57">
    <w:name w:val="Hyperlink"/>
    <w:uiPriority w:val="99"/>
    <w:rPr>
      <w:color w:val="0000FF"/>
      <w:u w:val="single"/>
    </w:rPr>
  </w:style>
  <w:style w:type="character" w:styleId="58">
    <w:name w:val="annotation reference"/>
    <w:semiHidden/>
    <w:uiPriority w:val="0"/>
    <w:rPr>
      <w:sz w:val="21"/>
      <w:szCs w:val="21"/>
    </w:rPr>
  </w:style>
  <w:style w:type="table" w:styleId="60">
    <w:name w:val="Table Grid"/>
    <w:basedOn w:val="59"/>
    <w:uiPriority w:val="99"/>
    <w:pPr>
      <w:widowControl w:val="0"/>
      <w:jc w:val="both"/>
    </w:pPr>
    <w:tblPr>
      <w:tblStyle w:val="59"/>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textDirection w:val="lrTb"/>
    </w:tcPr>
  </w:style>
  <w:style w:type="table" w:styleId="61">
    <w:name w:val="Table Theme"/>
    <w:basedOn w:val="59"/>
    <w:uiPriority w:val="99"/>
    <w:pPr>
      <w:widowControl w:val="0"/>
      <w:jc w:val="both"/>
    </w:pPr>
    <w:tblPr>
      <w:tblStyle w:val="59"/>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textDirection w:val="lrTb"/>
    </w:tcPr>
  </w:style>
  <w:style w:type="table" w:styleId="62">
    <w:name w:val="Table Classic 1"/>
    <w:basedOn w:val="59"/>
    <w:uiPriority w:val="0"/>
    <w:pPr>
      <w:widowControl w:val="0"/>
      <w:jc w:val="both"/>
    </w:pPr>
    <w:tblPr>
      <w:tblStyle w:val="59"/>
      <w:tblBorders>
        <w:top w:val="single" w:color="000000" w:sz="12" w:space="0"/>
        <w:bottom w:val="single" w:color="000000" w:sz="12" w:space="0"/>
      </w:tblBorders>
      <w:tblLayout w:type="fixed"/>
    </w:tblPr>
    <w:tcPr>
      <w:shd w:val="clear" w:color="auto" w:fill="auto"/>
      <w:textDirection w:val="lrTb"/>
    </w:tcPr>
    <w:tblStylePr w:type="firstRow">
      <w:rPr>
        <w:i/>
        <w:iCs/>
      </w:rPr>
      <w:tblPr>
        <w:tblStyle w:val="59"/>
        <w:tblLayout w:type="fixed"/>
      </w:tblPr>
      <w:tcPr>
        <w:tcBorders>
          <w:left w:val="single" w:color="000000" w:sz="6" w:space="0"/>
          <w:tl2br w:val="nil"/>
          <w:tr2bl w:val="nil"/>
        </w:tcBorders>
        <w:textDirection w:val="lrTb"/>
      </w:tcPr>
    </w:tblStylePr>
    <w:tblStylePr w:type="lastRow">
      <w:rPr>
        <w:color w:val="auto"/>
      </w:rPr>
      <w:tblPr>
        <w:tblStyle w:val="59"/>
        <w:tblLayout w:type="fixed"/>
      </w:tblPr>
      <w:tcPr>
        <w:tcBorders>
          <w:top w:val="single" w:color="000000" w:sz="6" w:space="0"/>
          <w:tl2br w:val="nil"/>
          <w:tr2bl w:val="nil"/>
        </w:tcBorders>
        <w:textDirection w:val="lrTb"/>
      </w:tcPr>
    </w:tblStylePr>
    <w:tblStylePr w:type="firstCol">
      <w:tblPr>
        <w:tblStyle w:val="59"/>
        <w:tblLayout w:type="fixed"/>
      </w:tblPr>
      <w:tcPr>
        <w:tcBorders>
          <w:right w:val="single" w:color="000000" w:sz="6" w:space="0"/>
          <w:tl2br w:val="nil"/>
          <w:tr2bl w:val="nil"/>
        </w:tcBorders>
        <w:textDirection w:val="lrTb"/>
      </w:tcPr>
    </w:tblStylePr>
    <w:tblStylePr w:type="neCell">
      <w:rPr>
        <w:b/>
        <w:bCs/>
        <w:i w:val="0"/>
        <w:iCs w:val="0"/>
      </w:rPr>
      <w:tblPr>
        <w:tblStyle w:val="59"/>
        <w:tblLayout w:type="fixed"/>
      </w:tblPr>
      <w:tcPr>
        <w:tcBorders>
          <w:tl2br w:val="nil"/>
          <w:tr2bl w:val="nil"/>
        </w:tcBorders>
        <w:textDirection w:val="lrTb"/>
      </w:tcPr>
    </w:tblStylePr>
    <w:tblStylePr w:type="swCell">
      <w:rPr>
        <w:b/>
        <w:bCs/>
      </w:rPr>
      <w:tblPr>
        <w:tblStyle w:val="59"/>
        <w:tblLayout w:type="fixed"/>
      </w:tblPr>
      <w:tcPr>
        <w:tcBorders>
          <w:tl2br w:val="nil"/>
          <w:tr2bl w:val="nil"/>
        </w:tcBorders>
        <w:textDirection w:val="lrTb"/>
      </w:tcPr>
    </w:tblStylePr>
  </w:style>
  <w:style w:type="table" w:styleId="63">
    <w:name w:val="Table Simple 1"/>
    <w:basedOn w:val="59"/>
    <w:uiPriority w:val="0"/>
    <w:pPr>
      <w:widowControl w:val="0"/>
      <w:jc w:val="both"/>
    </w:pPr>
    <w:tblPr>
      <w:tblStyle w:val="59"/>
      <w:tblBorders>
        <w:top w:val="single" w:color="008000" w:sz="12" w:space="0"/>
        <w:bottom w:val="single" w:color="008000" w:sz="12" w:space="0"/>
      </w:tblBorders>
      <w:tblLayout w:type="fixed"/>
    </w:tblPr>
    <w:tcPr>
      <w:shd w:val="clear" w:color="auto" w:fill="auto"/>
      <w:textDirection w:val="lrTb"/>
    </w:tcPr>
    <w:tblStylePr w:type="firstRow">
      <w:tblPr>
        <w:tblStyle w:val="59"/>
        <w:tblLayout w:type="fixed"/>
      </w:tblPr>
      <w:tcPr>
        <w:tcBorders>
          <w:left w:val="single" w:color="008000" w:sz="6" w:space="0"/>
          <w:tl2br w:val="nil"/>
          <w:tr2bl w:val="nil"/>
        </w:tcBorders>
        <w:textDirection w:val="lrTb"/>
      </w:tcPr>
    </w:tblStylePr>
    <w:tblStylePr w:type="lastRow">
      <w:tblPr>
        <w:tblStyle w:val="59"/>
        <w:tblLayout w:type="fixed"/>
      </w:tblPr>
      <w:tcPr>
        <w:tcBorders>
          <w:top w:val="single" w:color="008000" w:sz="6" w:space="0"/>
          <w:tl2br w:val="nil"/>
          <w:tr2bl w:val="nil"/>
        </w:tcBorders>
        <w:textDirection w:val="lrTb"/>
      </w:tcPr>
    </w:tblStylePr>
  </w:style>
  <w:style w:type="table" w:styleId="64">
    <w:name w:val="Table Professional"/>
    <w:basedOn w:val="59"/>
    <w:uiPriority w:val="0"/>
    <w:pPr>
      <w:widowControl w:val="0"/>
      <w:jc w:val="both"/>
    </w:pPr>
    <w:tblPr>
      <w:tblStyle w:val="59"/>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Pr>
    <w:tcPr>
      <w:shd w:val="clear" w:color="auto" w:fill="auto"/>
      <w:textDirection w:val="lrTb"/>
    </w:tcPr>
    <w:tblStylePr w:type="firstRow">
      <w:rPr>
        <w:b/>
        <w:bCs/>
        <w:color w:val="auto"/>
      </w:rPr>
      <w:tblPr>
        <w:tblStyle w:val="59"/>
        <w:tblLayout w:type="fixed"/>
      </w:tblPr>
      <w:tcPr>
        <w:tcBorders>
          <w:tl2br w:val="nil"/>
          <w:tr2bl w:val="nil"/>
        </w:tcBorders>
        <w:shd w:val="solid" w:color="000000" w:fill="FFFFFF"/>
        <w:textDirection w:val="lrTb"/>
      </w:tcPr>
    </w:tblStylePr>
  </w:style>
  <w:style w:type="paragraph" w:customStyle="1" w:styleId="65">
    <w:name w:val="默认段落字体 Para Char Char Char1 Char Char Char Char"/>
    <w:basedOn w:val="1"/>
    <w:uiPriority w:val="0"/>
    <w:rPr>
      <w:sz w:val="24"/>
    </w:rPr>
  </w:style>
  <w:style w:type="paragraph" w:customStyle="1" w:styleId="66">
    <w:name w:val="正文B"/>
    <w:basedOn w:val="1"/>
    <w:link w:val="262"/>
    <w:uiPriority w:val="0"/>
    <w:pPr>
      <w:adjustRightInd w:val="0"/>
      <w:spacing w:line="390" w:lineRule="exact"/>
      <w:ind w:firstLine="601"/>
      <w:textAlignment w:val="baseline"/>
    </w:pPr>
    <w:rPr>
      <w:rFonts w:eastAsia="楷体_GB2312"/>
      <w:spacing w:val="8"/>
      <w:kern w:val="0"/>
      <w:sz w:val="28"/>
      <w:szCs w:val="20"/>
    </w:rPr>
  </w:style>
  <w:style w:type="paragraph" w:customStyle="1" w:styleId="67">
    <w:name w:val="默认段落字体 Para Char"/>
    <w:basedOn w:val="1"/>
    <w:uiPriority w:val="0"/>
    <w:rPr>
      <w:sz w:val="24"/>
    </w:rPr>
  </w:style>
  <w:style w:type="paragraph" w:customStyle="1" w:styleId="68">
    <w:name w:val="表头"/>
    <w:basedOn w:val="1"/>
    <w:link w:val="263"/>
    <w:uiPriority w:val="0"/>
    <w:pPr>
      <w:spacing w:line="320" w:lineRule="atLeast"/>
      <w:jc w:val="center"/>
    </w:pPr>
    <w:rPr>
      <w:rFonts w:eastAsia="黑体"/>
      <w:spacing w:val="-10"/>
      <w:kern w:val="0"/>
      <w:szCs w:val="11"/>
    </w:rPr>
  </w:style>
  <w:style w:type="paragraph" w:customStyle="1" w:styleId="69">
    <w:name w:val="表蕊"/>
    <w:basedOn w:val="1"/>
    <w:link w:val="265"/>
    <w:uiPriority w:val="0"/>
    <w:pPr>
      <w:adjustRightInd w:val="0"/>
      <w:spacing w:line="320" w:lineRule="atLeast"/>
      <w:jc w:val="left"/>
      <w:textAlignment w:val="baseline"/>
    </w:pPr>
    <w:rPr>
      <w:rFonts w:eastAsia="楷体_GB2312"/>
      <w:spacing w:val="-10"/>
      <w:kern w:val="0"/>
      <w:szCs w:val="20"/>
    </w:rPr>
  </w:style>
  <w:style w:type="paragraph" w:customStyle="1" w:styleId="70">
    <w:name w:val="表格文字"/>
    <w:basedOn w:val="1"/>
    <w:link w:val="283"/>
    <w:uiPriority w:val="0"/>
    <w:pPr>
      <w:adjustRightInd w:val="0"/>
      <w:snapToGrid w:val="0"/>
      <w:jc w:val="center"/>
    </w:pPr>
    <w:rPr>
      <w:rFonts w:ascii="仿宋_GB2312" w:hAnsi="Arial Black" w:eastAsia="仿宋_GB2312"/>
      <w:kern w:val="44"/>
      <w:sz w:val="24"/>
      <w:szCs w:val="20"/>
    </w:rPr>
  </w:style>
  <w:style w:type="paragraph" w:customStyle="1" w:styleId="71">
    <w:name w:val="表后文"/>
    <w:basedOn w:val="1"/>
    <w:uiPriority w:val="0"/>
    <w:pPr>
      <w:adjustRightInd w:val="0"/>
      <w:spacing w:before="120" w:line="400" w:lineRule="exact"/>
      <w:ind w:firstLine="601"/>
      <w:textAlignment w:val="baseline"/>
    </w:pPr>
    <w:rPr>
      <w:rFonts w:eastAsia="楷体_GB2312"/>
      <w:spacing w:val="8"/>
      <w:kern w:val="0"/>
      <w:sz w:val="28"/>
      <w:szCs w:val="20"/>
    </w:rPr>
  </w:style>
  <w:style w:type="paragraph" w:customStyle="1" w:styleId="72">
    <w:name w:val="表格内文字"/>
    <w:basedOn w:val="1"/>
    <w:link w:val="267"/>
    <w:uiPriority w:val="0"/>
    <w:pPr>
      <w:spacing w:before="100" w:after="100" w:line="320" w:lineRule="exact"/>
      <w:jc w:val="center"/>
    </w:pPr>
    <w:rPr>
      <w:spacing w:val="10"/>
      <w:sz w:val="24"/>
      <w:szCs w:val="20"/>
    </w:rPr>
  </w:style>
  <w:style w:type="paragraph" w:customStyle="1" w:styleId="73">
    <w:name w:val="注释"/>
    <w:basedOn w:val="1"/>
    <w:link w:val="268"/>
    <w:uiPriority w:val="0"/>
    <w:pPr>
      <w:adjustRightInd w:val="0"/>
      <w:snapToGrid w:val="0"/>
      <w:spacing w:line="360" w:lineRule="auto"/>
      <w:jc w:val="center"/>
      <w:textAlignment w:val="baseline"/>
    </w:pPr>
    <w:rPr>
      <w:rFonts w:ascii="宋体" w:eastAsia="仿宋_GB2312"/>
      <w:snapToGrid w:val="0"/>
      <w:spacing w:val="-4"/>
      <w:kern w:val="0"/>
      <w:sz w:val="24"/>
    </w:rPr>
  </w:style>
  <w:style w:type="paragraph" w:customStyle="1" w:styleId="74">
    <w:name w:val="表格标题新"/>
    <w:basedOn w:val="72"/>
    <w:link w:val="269"/>
    <w:uiPriority w:val="0"/>
    <w:pPr>
      <w:tabs>
        <w:tab w:val="left" w:pos="0"/>
      </w:tabs>
      <w:adjustRightInd w:val="0"/>
      <w:snapToGrid w:val="0"/>
      <w:spacing w:before="120" w:beforeLines="50" w:after="0" w:line="240" w:lineRule="auto"/>
      <w:ind w:firstLine="562"/>
    </w:pPr>
    <w:rPr>
      <w:rFonts w:ascii="仿宋_GB2312" w:eastAsia="黑体"/>
      <w:b/>
      <w:snapToGrid w:val="0"/>
      <w:spacing w:val="4"/>
      <w:szCs w:val="24"/>
    </w:rPr>
  </w:style>
  <w:style w:type="paragraph" w:customStyle="1" w:styleId="75">
    <w:name w:val="表前文"/>
    <w:basedOn w:val="1"/>
    <w:uiPriority w:val="0"/>
    <w:pPr>
      <w:adjustRightInd w:val="0"/>
      <w:spacing w:after="120" w:line="400" w:lineRule="exact"/>
      <w:ind w:firstLine="601"/>
      <w:textAlignment w:val="baseline"/>
    </w:pPr>
    <w:rPr>
      <w:rFonts w:eastAsia="楷体_GB2312"/>
      <w:spacing w:val="8"/>
      <w:kern w:val="0"/>
      <w:sz w:val="28"/>
      <w:szCs w:val="20"/>
    </w:rPr>
  </w:style>
  <w:style w:type="paragraph" w:customStyle="1" w:styleId="76">
    <w:name w:val="Plain Text2"/>
    <w:basedOn w:val="1"/>
    <w:uiPriority w:val="0"/>
    <w:pPr>
      <w:autoSpaceDE w:val="0"/>
      <w:autoSpaceDN w:val="0"/>
      <w:adjustRightInd w:val="0"/>
      <w:textAlignment w:val="baseline"/>
    </w:pPr>
    <w:rPr>
      <w:rFonts w:ascii="宋体" w:hAnsi="Tms Rmn"/>
      <w:kern w:val="0"/>
      <w:szCs w:val="20"/>
    </w:rPr>
  </w:style>
  <w:style w:type="paragraph" w:customStyle="1" w:styleId="77">
    <w:name w:val=" Char Char Char Char Char Char"/>
    <w:basedOn w:val="1"/>
    <w:uiPriority w:val="0"/>
    <w:rPr>
      <w:sz w:val="24"/>
    </w:rPr>
  </w:style>
  <w:style w:type="paragraph" w:customStyle="1" w:styleId="78">
    <w:name w:val=" Char"/>
    <w:basedOn w:val="1"/>
    <w:uiPriority w:val="0"/>
    <w:rPr>
      <w:sz w:val="24"/>
    </w:rPr>
  </w:style>
  <w:style w:type="paragraph" w:customStyle="1" w:styleId="79">
    <w:name w:val=" Char Char Char"/>
    <w:basedOn w:val="1"/>
    <w:uiPriority w:val="0"/>
    <w:rPr>
      <w:sz w:val="24"/>
    </w:rPr>
  </w:style>
  <w:style w:type="paragraph" w:customStyle="1" w:styleId="80">
    <w:name w:val=" Char Char Char Char"/>
    <w:basedOn w:val="1"/>
    <w:uiPriority w:val="0"/>
    <w:rPr>
      <w:sz w:val="24"/>
    </w:rPr>
  </w:style>
  <w:style w:type="paragraph" w:customStyle="1" w:styleId="81">
    <w:name w:val="默认段落字体 Para Char Char Char Char"/>
    <w:basedOn w:val="1"/>
    <w:uiPriority w:val="0"/>
  </w:style>
  <w:style w:type="paragraph" w:customStyle="1" w:styleId="82">
    <w:name w:val="项目编号"/>
    <w:basedOn w:val="1"/>
    <w:next w:val="1"/>
    <w:uiPriority w:val="0"/>
    <w:pPr>
      <w:spacing w:before="120" w:after="120" w:line="360" w:lineRule="auto"/>
    </w:pPr>
    <w:rPr>
      <w:sz w:val="24"/>
      <w:szCs w:val="20"/>
    </w:rPr>
  </w:style>
  <w:style w:type="paragraph" w:customStyle="1" w:styleId="83">
    <w:name w:val="默认段落字体 Para Char Char Char Char Char Char Char"/>
    <w:basedOn w:val="1"/>
    <w:uiPriority w:val="0"/>
    <w:rPr>
      <w:sz w:val="24"/>
    </w:rPr>
  </w:style>
  <w:style w:type="paragraph" w:customStyle="1" w:styleId="84">
    <w:name w:val=" Char Char Char Char Char Char Char"/>
    <w:basedOn w:val="1"/>
    <w:uiPriority w:val="0"/>
    <w:rPr>
      <w:sz w:val="24"/>
    </w:rPr>
  </w:style>
  <w:style w:type="paragraph" w:styleId="85">
    <w:name w:val=""/>
    <w:hidden/>
    <w:semiHidden/>
    <w:uiPriority w:val="99"/>
    <w:rPr>
      <w:kern w:val="2"/>
      <w:sz w:val="21"/>
      <w:szCs w:val="24"/>
      <w:lang w:val="en-US" w:eastAsia="zh-CN" w:bidi="ar-SA"/>
    </w:rPr>
  </w:style>
  <w:style w:type="paragraph" w:customStyle="1" w:styleId="86">
    <w:name w:val="Default"/>
    <w:uiPriority w:val="99"/>
    <w:pPr>
      <w:widowControl w:val="0"/>
      <w:autoSpaceDE w:val="0"/>
      <w:autoSpaceDN w:val="0"/>
      <w:adjustRightInd w:val="0"/>
    </w:pPr>
    <w:rPr>
      <w:rFonts w:ascii="宋体" w:cs="宋体"/>
      <w:color w:val="000000"/>
      <w:sz w:val="24"/>
      <w:szCs w:val="24"/>
      <w:lang w:val="en-US" w:eastAsia="zh-CN" w:bidi="ar-SA"/>
    </w:rPr>
  </w:style>
  <w:style w:type="paragraph" w:customStyle="1" w:styleId="87">
    <w:name w:val="文本框文字"/>
    <w:basedOn w:val="1"/>
    <w:uiPriority w:val="0"/>
    <w:pPr>
      <w:framePr w:hSpace="181" w:vSpace="181" w:wrap="around" w:vAnchor="page" w:hAnchor="page" w:xAlign="center" w:yAlign="center"/>
      <w:adjustRightInd w:val="0"/>
      <w:snapToGrid w:val="0"/>
      <w:spacing w:line="240" w:lineRule="exact"/>
      <w:jc w:val="center"/>
      <w:textAlignment w:val="center"/>
    </w:pPr>
    <w:rPr>
      <w:rFonts w:ascii="宋体"/>
      <w:snapToGrid w:val="0"/>
      <w:kern w:val="0"/>
      <w:sz w:val="24"/>
    </w:rPr>
  </w:style>
  <w:style w:type="paragraph" w:customStyle="1" w:styleId="88">
    <w:name w:val="6"/>
    <w:basedOn w:val="1"/>
    <w:next w:val="46"/>
    <w:uiPriority w:val="0"/>
    <w:pPr>
      <w:spacing w:after="120" w:line="480" w:lineRule="auto"/>
    </w:pPr>
    <w:rPr>
      <w:sz w:val="24"/>
    </w:rPr>
  </w:style>
  <w:style w:type="paragraph" w:customStyle="1" w:styleId="89">
    <w:name w:val="1正文"/>
    <w:basedOn w:val="30"/>
    <w:uiPriority w:val="0"/>
    <w:pPr>
      <w:spacing w:line="560" w:lineRule="exact"/>
      <w:ind w:firstLine="480" w:firstLineChars="200"/>
    </w:pPr>
    <w:rPr>
      <w:rFonts w:ascii="Times New Roman" w:hAnsi="Times New Roman"/>
      <w:bCs w:val="0"/>
      <w:sz w:val="24"/>
      <w:szCs w:val="20"/>
    </w:rPr>
  </w:style>
  <w:style w:type="paragraph" w:customStyle="1" w:styleId="90">
    <w:name w:val="段"/>
    <w:uiPriority w:val="0"/>
    <w:pPr>
      <w:autoSpaceDE w:val="0"/>
      <w:autoSpaceDN w:val="0"/>
      <w:ind w:firstLine="200" w:firstLineChars="200"/>
      <w:jc w:val="both"/>
    </w:pPr>
    <w:rPr>
      <w:rFonts w:ascii="宋体"/>
      <w:sz w:val="21"/>
      <w:lang w:val="en-US" w:eastAsia="zh-CN" w:bidi="ar-SA"/>
    </w:rPr>
  </w:style>
  <w:style w:type="paragraph" w:customStyle="1" w:styleId="91">
    <w:name w:val="正文(首行缩进)"/>
    <w:basedOn w:val="1"/>
    <w:link w:val="282"/>
    <w:uiPriority w:val="0"/>
    <w:pPr>
      <w:adjustRightInd w:val="0"/>
      <w:snapToGrid w:val="0"/>
      <w:spacing w:line="360" w:lineRule="auto"/>
      <w:ind w:firstLine="200" w:firstLineChars="200"/>
    </w:pPr>
    <w:rPr>
      <w:snapToGrid w:val="0"/>
      <w:kern w:val="0"/>
      <w:sz w:val="24"/>
    </w:rPr>
  </w:style>
  <w:style w:type="paragraph" w:customStyle="1" w:styleId="92">
    <w:name w:val="表格标题居中"/>
    <w:uiPriority w:val="0"/>
    <w:pPr>
      <w:tabs>
        <w:tab w:val="left" w:pos="180"/>
        <w:tab w:val="center" w:pos="279"/>
      </w:tabs>
      <w:jc w:val="center"/>
    </w:pPr>
    <w:rPr>
      <w:rFonts w:hint="eastAsia" w:hAnsi="宋体" w:eastAsia="黑体"/>
      <w:szCs w:val="21"/>
      <w:lang w:val="en-US" w:eastAsia="zh-CN" w:bidi="ar-SA"/>
    </w:rPr>
  </w:style>
  <w:style w:type="paragraph" w:customStyle="1" w:styleId="93">
    <w:name w:val="样式1"/>
    <w:basedOn w:val="5"/>
    <w:uiPriority w:val="0"/>
    <w:pPr>
      <w:spacing w:line="372" w:lineRule="auto"/>
    </w:pPr>
    <w:rPr>
      <w:rFonts w:eastAsia="宋体"/>
      <w:b w:val="0"/>
      <w:bCs w:val="0"/>
      <w:szCs w:val="20"/>
    </w:rPr>
  </w:style>
  <w:style w:type="paragraph" w:customStyle="1" w:styleId="94">
    <w:name w:val="xl28"/>
    <w:basedOn w:val="1"/>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kern w:val="0"/>
      <w:sz w:val="24"/>
    </w:rPr>
  </w:style>
  <w:style w:type="paragraph" w:customStyle="1" w:styleId="95">
    <w:name w:val="项目名称"/>
    <w:basedOn w:val="1"/>
    <w:next w:val="1"/>
    <w:uiPriority w:val="0"/>
    <w:pPr>
      <w:spacing w:line="800" w:lineRule="atLeast"/>
      <w:jc w:val="center"/>
      <w:outlineLvl w:val="0"/>
    </w:pPr>
    <w:rPr>
      <w:rFonts w:ascii="黑体" w:eastAsia="黑体"/>
      <w:sz w:val="52"/>
      <w:szCs w:val="52"/>
    </w:rPr>
  </w:style>
  <w:style w:type="paragraph" w:customStyle="1" w:styleId="96">
    <w:name w:val="单位名称"/>
    <w:basedOn w:val="1"/>
    <w:next w:val="1"/>
    <w:uiPriority w:val="0"/>
    <w:pPr>
      <w:spacing w:line="500" w:lineRule="atLeast"/>
      <w:jc w:val="center"/>
    </w:pPr>
    <w:rPr>
      <w:sz w:val="44"/>
      <w:szCs w:val="44"/>
    </w:rPr>
  </w:style>
  <w:style w:type="paragraph" w:customStyle="1" w:styleId="97">
    <w:name w:val="参加人员"/>
    <w:basedOn w:val="1"/>
    <w:uiPriority w:val="0"/>
    <w:pPr>
      <w:spacing w:line="500" w:lineRule="atLeast"/>
    </w:pPr>
    <w:rPr>
      <w:sz w:val="24"/>
    </w:rPr>
  </w:style>
  <w:style w:type="paragraph" w:customStyle="1" w:styleId="98">
    <w:name w:val="参加人员名单"/>
    <w:basedOn w:val="1"/>
    <w:next w:val="1"/>
    <w:uiPriority w:val="0"/>
    <w:pPr>
      <w:spacing w:line="500" w:lineRule="atLeast"/>
      <w:jc w:val="center"/>
      <w:outlineLvl w:val="0"/>
    </w:pPr>
    <w:rPr>
      <w:sz w:val="32"/>
      <w:szCs w:val="32"/>
    </w:rPr>
  </w:style>
  <w:style w:type="paragraph" w:customStyle="1" w:styleId="99">
    <w:name w:val="文件编号"/>
    <w:basedOn w:val="1"/>
    <w:next w:val="1"/>
    <w:uiPriority w:val="0"/>
    <w:pPr>
      <w:spacing w:line="500" w:lineRule="atLeast"/>
      <w:jc w:val="center"/>
    </w:pPr>
    <w:rPr>
      <w:rFonts w:ascii="黑体" w:eastAsia="黑体"/>
      <w:sz w:val="44"/>
      <w:szCs w:val="44"/>
    </w:rPr>
  </w:style>
  <w:style w:type="paragraph" w:customStyle="1" w:styleId="100">
    <w:name w:val="文件册号"/>
    <w:basedOn w:val="1"/>
    <w:next w:val="1"/>
    <w:uiPriority w:val="0"/>
    <w:pPr>
      <w:spacing w:line="800" w:lineRule="atLeast"/>
      <w:jc w:val="center"/>
    </w:pPr>
    <w:rPr>
      <w:sz w:val="52"/>
      <w:szCs w:val="52"/>
    </w:rPr>
  </w:style>
  <w:style w:type="paragraph" w:customStyle="1" w:styleId="101">
    <w:name w:val="文件名称"/>
    <w:basedOn w:val="1"/>
    <w:next w:val="1"/>
    <w:uiPriority w:val="0"/>
    <w:pPr>
      <w:spacing w:before="100" w:beforeLines="100" w:line="500" w:lineRule="atLeast"/>
      <w:jc w:val="center"/>
    </w:pPr>
    <w:rPr>
      <w:rFonts w:ascii="黑体" w:eastAsia="黑体"/>
      <w:sz w:val="84"/>
      <w:szCs w:val="84"/>
    </w:rPr>
  </w:style>
  <w:style w:type="paragraph" w:customStyle="1" w:styleId="102">
    <w:name w:val="主要负责人"/>
    <w:basedOn w:val="1"/>
    <w:next w:val="1"/>
    <w:uiPriority w:val="0"/>
    <w:pPr>
      <w:spacing w:line="500" w:lineRule="atLeast"/>
      <w:jc w:val="center"/>
    </w:pPr>
    <w:rPr>
      <w:sz w:val="36"/>
      <w:szCs w:val="36"/>
    </w:rPr>
  </w:style>
  <w:style w:type="paragraph" w:customStyle="1" w:styleId="103">
    <w:name w:val="font13"/>
    <w:basedOn w:val="1"/>
    <w:uiPriority w:val="0"/>
    <w:pPr>
      <w:widowControl/>
      <w:spacing w:before="100" w:beforeAutospacing="1" w:after="100" w:afterAutospacing="1"/>
      <w:jc w:val="left"/>
    </w:pPr>
    <w:rPr>
      <w:kern w:val="0"/>
      <w:sz w:val="40"/>
      <w:szCs w:val="40"/>
    </w:rPr>
  </w:style>
  <w:style w:type="paragraph" w:customStyle="1" w:styleId="104">
    <w:name w:val="Plain Text"/>
    <w:basedOn w:val="1"/>
    <w:uiPriority w:val="0"/>
    <w:pPr>
      <w:tabs>
        <w:tab w:val="left" w:pos="0"/>
        <w:tab w:val="left" w:pos="360"/>
        <w:tab w:val="left" w:pos="540"/>
        <w:tab w:val="left" w:pos="900"/>
      </w:tabs>
      <w:autoSpaceDE w:val="0"/>
      <w:autoSpaceDN w:val="0"/>
      <w:adjustRightInd w:val="0"/>
      <w:snapToGrid w:val="0"/>
      <w:spacing w:line="520" w:lineRule="exact"/>
      <w:textAlignment w:val="baseline"/>
    </w:pPr>
    <w:rPr>
      <w:rFonts w:ascii="宋体" w:hAnsi="宋体"/>
      <w:color w:val="000000"/>
      <w:kern w:val="0"/>
      <w:sz w:val="24"/>
      <w:lang w:val="zh-CN" w:eastAsia="zh-CN"/>
    </w:rPr>
  </w:style>
  <w:style w:type="paragraph" w:customStyle="1" w:styleId="105">
    <w:name w:val="Char"/>
    <w:basedOn w:val="1"/>
    <w:uiPriority w:val="0"/>
  </w:style>
  <w:style w:type="paragraph" w:customStyle="1" w:styleId="106">
    <w:name w:val=" Char4"/>
    <w:basedOn w:val="1"/>
    <w:uiPriority w:val="0"/>
    <w:rPr>
      <w:sz w:val="24"/>
    </w:rPr>
  </w:style>
  <w:style w:type="paragraph" w:customStyle="1" w:styleId="107">
    <w:name w:val="正文 首行缩进:  2 字符"/>
    <w:basedOn w:val="1"/>
    <w:uiPriority w:val="0"/>
    <w:pPr>
      <w:spacing w:line="460" w:lineRule="exact"/>
      <w:ind w:firstLine="480" w:firstLineChars="200"/>
    </w:pPr>
    <w:rPr>
      <w:rFonts w:cs="宋体"/>
      <w:sz w:val="24"/>
      <w:szCs w:val="20"/>
    </w:rPr>
  </w:style>
  <w:style w:type="paragraph" w:customStyle="1" w:styleId="108">
    <w:name w:val="表格 居中"/>
    <w:basedOn w:val="1"/>
    <w:uiPriority w:val="0"/>
    <w:pPr>
      <w:spacing w:line="0" w:lineRule="atLeast"/>
      <w:jc w:val="center"/>
    </w:pPr>
    <w:rPr>
      <w:rFonts w:cs="宋体"/>
      <w:szCs w:val="20"/>
    </w:rPr>
  </w:style>
  <w:style w:type="paragraph" w:customStyle="1" w:styleId="109">
    <w:name w:val="表头 加粗 居中"/>
    <w:basedOn w:val="1"/>
    <w:uiPriority w:val="0"/>
    <w:pPr>
      <w:spacing w:line="460" w:lineRule="exact"/>
      <w:jc w:val="center"/>
    </w:pPr>
    <w:rPr>
      <w:rFonts w:cs="宋体"/>
      <w:b/>
      <w:bCs/>
      <w:sz w:val="24"/>
      <w:szCs w:val="20"/>
    </w:rPr>
  </w:style>
  <w:style w:type="paragraph" w:customStyle="1" w:styleId="110">
    <w:name w:val="彩图 居中"/>
    <w:basedOn w:val="1"/>
    <w:uiPriority w:val="0"/>
    <w:pPr>
      <w:spacing w:line="460" w:lineRule="atLeast"/>
      <w:jc w:val="center"/>
    </w:pPr>
    <w:rPr>
      <w:rFonts w:cs="宋体"/>
      <w:sz w:val="24"/>
      <w:szCs w:val="20"/>
    </w:rPr>
  </w:style>
  <w:style w:type="paragraph" w:customStyle="1" w:styleId="111">
    <w:name w:val="表格 居左"/>
    <w:basedOn w:val="1"/>
    <w:uiPriority w:val="0"/>
    <w:pPr>
      <w:spacing w:line="0" w:lineRule="atLeast"/>
    </w:pPr>
    <w:rPr>
      <w:rFonts w:cs="宋体"/>
      <w:szCs w:val="21"/>
    </w:rPr>
  </w:style>
  <w:style w:type="paragraph" w:customStyle="1" w:styleId="112">
    <w:name w:val="Char4"/>
    <w:basedOn w:val="1"/>
    <w:uiPriority w:val="0"/>
    <w:rPr>
      <w:sz w:val="24"/>
    </w:rPr>
  </w:style>
  <w:style w:type="paragraph" w:customStyle="1" w:styleId="113">
    <w:name w:val=" Char Char1 Char Char Char Char"/>
    <w:basedOn w:val="1"/>
    <w:uiPriority w:val="0"/>
    <w:rPr>
      <w:sz w:val="24"/>
    </w:rPr>
  </w:style>
  <w:style w:type="paragraph" w:customStyle="1" w:styleId="114">
    <w:name w:val="样式 标题 3 + 字距调整二号 行距: 最小值 25 磅"/>
    <w:basedOn w:val="4"/>
    <w:uiPriority w:val="0"/>
    <w:pPr>
      <w:keepLines w:val="0"/>
      <w:tabs>
        <w:tab w:val="left" w:leader="dot" w:pos="0"/>
        <w:tab w:val="left" w:pos="927"/>
      </w:tabs>
      <w:spacing w:before="0" w:after="0" w:line="360" w:lineRule="auto"/>
      <w:ind w:firstLine="567"/>
    </w:pPr>
    <w:rPr>
      <w:rFonts w:cs="宋体"/>
      <w:bCs w:val="0"/>
      <w:kern w:val="44"/>
      <w:sz w:val="24"/>
      <w:szCs w:val="24"/>
    </w:rPr>
  </w:style>
  <w:style w:type="paragraph" w:customStyle="1" w:styleId="115">
    <w:name w:val="Char Char Char Char"/>
    <w:basedOn w:val="1"/>
    <w:uiPriority w:val="0"/>
    <w:rPr>
      <w:rFonts w:eastAsia="楷体_GB2312"/>
      <w:sz w:val="28"/>
      <w:szCs w:val="21"/>
    </w:rPr>
  </w:style>
  <w:style w:type="paragraph" w:customStyle="1" w:styleId="116">
    <w:name w:val="Date"/>
    <w:basedOn w:val="35"/>
    <w:next w:val="1"/>
    <w:uiPriority w:val="0"/>
    <w:pPr>
      <w:snapToGrid w:val="0"/>
      <w:jc w:val="center"/>
    </w:pPr>
    <w:rPr>
      <w:rFonts w:ascii="楷体_GB2312" w:eastAsia="楷体_GB2312"/>
      <w:kern w:val="0"/>
      <w:sz w:val="28"/>
    </w:rPr>
  </w:style>
  <w:style w:type="paragraph" w:customStyle="1" w:styleId="117">
    <w:name w:val="简单回函地址"/>
    <w:basedOn w:val="1"/>
    <w:uiPriority w:val="0"/>
  </w:style>
  <w:style w:type="paragraph" w:customStyle="1" w:styleId="118">
    <w:name w:val="封面项目名称"/>
    <w:basedOn w:val="1"/>
    <w:uiPriority w:val="0"/>
    <w:pPr>
      <w:spacing w:line="300" w:lineRule="auto"/>
      <w:jc w:val="center"/>
    </w:pPr>
    <w:rPr>
      <w:rFonts w:eastAsia="仿宋_GB2312"/>
      <w:b/>
      <w:sz w:val="44"/>
    </w:rPr>
  </w:style>
  <w:style w:type="paragraph" w:customStyle="1" w:styleId="119">
    <w:name w:val="表"/>
    <w:basedOn w:val="1"/>
    <w:uiPriority w:val="0"/>
    <w:pPr>
      <w:snapToGrid w:val="0"/>
    </w:pPr>
    <w:rPr>
      <w:rFonts w:ascii="宋体" w:hAnsi="宋体"/>
      <w:bCs/>
      <w:szCs w:val="21"/>
    </w:rPr>
  </w:style>
  <w:style w:type="paragraph" w:customStyle="1" w:styleId="120">
    <w:name w:val="附表名称"/>
    <w:basedOn w:val="30"/>
    <w:uiPriority w:val="0"/>
    <w:pPr>
      <w:adjustRightInd w:val="0"/>
      <w:snapToGrid w:val="0"/>
      <w:spacing w:line="360" w:lineRule="auto"/>
      <w:jc w:val="center"/>
    </w:pPr>
    <w:rPr>
      <w:rFonts w:ascii="Arial Narrow" w:hAnsi="Arial Narrow" w:eastAsia="黑体" w:cs="Courier New"/>
      <w:bCs w:val="0"/>
    </w:rPr>
  </w:style>
  <w:style w:type="paragraph" w:customStyle="1" w:styleId="121">
    <w:name w:val="样式 标题 1 + 小四 非加粗 段前: 6 磅 段后: 6 磅 行距: 最小值 4 磅"/>
    <w:basedOn w:val="2"/>
    <w:uiPriority w:val="0"/>
    <w:pPr>
      <w:tabs>
        <w:tab w:val="left" w:pos="1200"/>
      </w:tabs>
      <w:adjustRightInd/>
      <w:spacing w:line="80" w:lineRule="atLeast"/>
      <w:ind w:left="1200" w:hanging="360"/>
      <w:jc w:val="center"/>
      <w:textAlignment w:val="auto"/>
    </w:pPr>
    <w:rPr>
      <w:rFonts w:ascii="Arial Narrow" w:hAnsi="Arial Narrow" w:eastAsia="仿宋_GB2312"/>
      <w:b/>
      <w:bCs/>
      <w:color w:val="auto"/>
      <w:kern w:val="2"/>
      <w:sz w:val="24"/>
    </w:rPr>
  </w:style>
  <w:style w:type="paragraph" w:customStyle="1" w:styleId="122">
    <w:name w:val="表格文字左对齐"/>
    <w:basedOn w:val="1"/>
    <w:next w:val="1"/>
    <w:uiPriority w:val="0"/>
    <w:pPr>
      <w:adjustRightInd w:val="0"/>
      <w:snapToGrid w:val="0"/>
    </w:pPr>
    <w:rPr>
      <w:rFonts w:ascii="Arial" w:hAnsi="Arial" w:eastAsia="仿宋_GB2312" w:cs="Arial"/>
      <w:color w:val="000000"/>
      <w:spacing w:val="-20"/>
      <w:kern w:val="0"/>
      <w:szCs w:val="20"/>
    </w:rPr>
  </w:style>
  <w:style w:type="paragraph" w:customStyle="1" w:styleId="123">
    <w:name w:val="表格文字中对齐"/>
    <w:basedOn w:val="1"/>
    <w:uiPriority w:val="0"/>
    <w:pPr>
      <w:jc w:val="center"/>
    </w:pPr>
    <w:rPr>
      <w:szCs w:val="21"/>
    </w:rPr>
  </w:style>
  <w:style w:type="paragraph" w:customStyle="1" w:styleId="124">
    <w:name w:val="样式5"/>
    <w:basedOn w:val="1"/>
    <w:uiPriority w:val="0"/>
    <w:pPr>
      <w:spacing w:line="300" w:lineRule="auto"/>
      <w:jc w:val="center"/>
    </w:pPr>
    <w:rPr>
      <w:rFonts w:ascii="Arial Narrow" w:hAnsi="Arial Narrow" w:eastAsia="仿宋_GB2312"/>
      <w:b/>
      <w:bCs/>
      <w:szCs w:val="21"/>
    </w:rPr>
  </w:style>
  <w:style w:type="paragraph" w:customStyle="1" w:styleId="125">
    <w:name w:val="正文首行不缩进"/>
    <w:basedOn w:val="1"/>
    <w:uiPriority w:val="0"/>
    <w:pPr>
      <w:ind w:firstLine="42" w:firstLineChars="15"/>
      <w:jc w:val="center"/>
    </w:pPr>
    <w:rPr>
      <w:spacing w:val="20"/>
      <w:sz w:val="24"/>
    </w:rPr>
  </w:style>
  <w:style w:type="paragraph" w:customStyle="1" w:styleId="126">
    <w:name w:val="标题5"/>
    <w:basedOn w:val="1"/>
    <w:uiPriority w:val="0"/>
    <w:pPr>
      <w:tabs>
        <w:tab w:val="left" w:pos="1140"/>
      </w:tabs>
      <w:snapToGrid w:val="0"/>
      <w:spacing w:line="300" w:lineRule="auto"/>
      <w:ind w:left="1140" w:hanging="720"/>
      <w:outlineLvl w:val="2"/>
    </w:pPr>
    <w:rPr>
      <w:rFonts w:ascii="Arial Narrow" w:hAnsi="Arial Narrow" w:eastAsia="仿宋_GB2312"/>
      <w:sz w:val="24"/>
    </w:rPr>
  </w:style>
  <w:style w:type="paragraph" w:customStyle="1" w:styleId="127">
    <w:name w:val="样式 标题 1 + 小四 段前: 7.8 磅 段后: 7.8 磅 行距: 多倍行距 1.25 字行"/>
    <w:basedOn w:val="2"/>
    <w:uiPriority w:val="0"/>
    <w:pPr>
      <w:tabs>
        <w:tab w:val="left" w:pos="1200"/>
      </w:tabs>
      <w:adjustRightInd/>
      <w:snapToGrid w:val="0"/>
      <w:spacing w:line="300" w:lineRule="auto"/>
      <w:ind w:left="1200" w:hanging="360"/>
      <w:jc w:val="center"/>
      <w:textAlignment w:val="auto"/>
    </w:pPr>
    <w:rPr>
      <w:rFonts w:ascii="Arial Narrow" w:hAnsi="Arial Narrow" w:eastAsia="仿宋_GB2312"/>
      <w:color w:val="auto"/>
      <w:kern w:val="2"/>
      <w:sz w:val="24"/>
    </w:rPr>
  </w:style>
  <w:style w:type="paragraph" w:customStyle="1" w:styleId="128">
    <w:name w:val="表格文字缩进"/>
    <w:basedOn w:val="1"/>
    <w:next w:val="1"/>
    <w:uiPriority w:val="0"/>
    <w:pPr>
      <w:spacing w:line="300" w:lineRule="auto"/>
      <w:ind w:firstLine="420" w:firstLineChars="200"/>
      <w:jc w:val="center"/>
    </w:pPr>
  </w:style>
  <w:style w:type="paragraph" w:customStyle="1" w:styleId="129">
    <w:name w:val="表格"/>
    <w:basedOn w:val="41"/>
    <w:link w:val="297"/>
    <w:uiPriority w:val="0"/>
    <w:pPr>
      <w:tabs>
        <w:tab w:val="left" w:pos="255"/>
        <w:tab w:val="left" w:pos="540"/>
        <w:tab w:val="left" w:pos="600"/>
        <w:tab w:val="left" w:pos="720"/>
        <w:tab w:val="left" w:pos="1200"/>
        <w:tab w:val="left" w:pos="1440"/>
        <w:tab w:val="left" w:pos="2448"/>
        <w:tab w:val="left" w:pos="3000"/>
        <w:tab w:val="left" w:pos="3888"/>
        <w:tab w:val="left" w:pos="4800"/>
        <w:tab w:val="left" w:pos="5883"/>
        <w:tab w:val="left" w:pos="6300"/>
        <w:tab w:val="left" w:pos="7353"/>
        <w:tab w:val="left" w:pos="8613"/>
      </w:tabs>
      <w:autoSpaceDE w:val="0"/>
      <w:autoSpaceDN w:val="0"/>
      <w:adjustRightInd w:val="0"/>
      <w:spacing w:line="300" w:lineRule="auto"/>
      <w:jc w:val="center"/>
      <w:textAlignment w:val="baseline"/>
    </w:pPr>
    <w:rPr>
      <w:rFonts w:ascii="宋体"/>
      <w:b/>
      <w:kern w:val="0"/>
    </w:rPr>
  </w:style>
  <w:style w:type="paragraph" w:customStyle="1" w:styleId="130">
    <w:name w:val="Tabelle"/>
    <w:basedOn w:val="1"/>
    <w:uiPriority w:val="0"/>
    <w:pPr>
      <w:widowControl/>
      <w:autoSpaceDE w:val="0"/>
      <w:autoSpaceDN w:val="0"/>
      <w:adjustRightInd w:val="0"/>
      <w:spacing w:before="80" w:after="80" w:line="300" w:lineRule="auto"/>
      <w:jc w:val="center"/>
    </w:pPr>
    <w:rPr>
      <w:rFonts w:ascii="Arial" w:hAnsi="Arial"/>
      <w:kern w:val="0"/>
      <w:sz w:val="20"/>
      <w:szCs w:val="20"/>
      <w:lang w:val="en-GB"/>
    </w:rPr>
  </w:style>
  <w:style w:type="paragraph" w:customStyle="1" w:styleId="131">
    <w:name w:val="表标"/>
    <w:basedOn w:val="1"/>
    <w:next w:val="1"/>
    <w:uiPriority w:val="0"/>
    <w:pPr>
      <w:tabs>
        <w:tab w:val="left" w:pos="540"/>
        <w:tab w:val="left" w:pos="600"/>
        <w:tab w:val="left" w:pos="720"/>
        <w:tab w:val="left" w:pos="1200"/>
        <w:tab w:val="left" w:pos="1440"/>
        <w:tab w:val="left" w:pos="2448"/>
        <w:tab w:val="left" w:pos="3000"/>
        <w:tab w:val="left" w:pos="3888"/>
        <w:tab w:val="left" w:pos="4800"/>
        <w:tab w:val="left" w:pos="5040"/>
        <w:tab w:val="left" w:pos="5883"/>
        <w:tab w:val="left" w:pos="6300"/>
        <w:tab w:val="left" w:pos="7353"/>
        <w:tab w:val="left" w:pos="8613"/>
      </w:tabs>
      <w:autoSpaceDE w:val="0"/>
      <w:autoSpaceDN w:val="0"/>
      <w:adjustRightInd w:val="0"/>
      <w:snapToGrid w:val="0"/>
      <w:spacing w:line="300" w:lineRule="auto"/>
      <w:ind w:right="181" w:firstLine="200" w:firstLineChars="200"/>
      <w:jc w:val="right"/>
      <w:textAlignment w:val="baseline"/>
    </w:pPr>
    <w:rPr>
      <w:rFonts w:ascii="黑体" w:hAnsi="宋体" w:eastAsia="黑体"/>
      <w:kern w:val="0"/>
      <w:sz w:val="24"/>
      <w:szCs w:val="20"/>
    </w:rPr>
  </w:style>
  <w:style w:type="paragraph" w:customStyle="1" w:styleId="132">
    <w:name w:val="表内字"/>
    <w:uiPriority w:val="0"/>
    <w:pPr>
      <w:widowControl w:val="0"/>
      <w:adjustRightInd w:val="0"/>
      <w:snapToGrid w:val="0"/>
      <w:jc w:val="center"/>
    </w:pPr>
    <w:rPr>
      <w:rFonts w:ascii="宋体" w:hAnsi="宋体"/>
      <w:color w:val="000000"/>
      <w:sz w:val="21"/>
      <w:lang w:val="en-US" w:eastAsia="zh-CN" w:bidi="ar-SA"/>
    </w:rPr>
  </w:style>
  <w:style w:type="paragraph" w:customStyle="1" w:styleId="133">
    <w:name w:val="spalten"/>
    <w:basedOn w:val="1"/>
    <w:uiPriority w:val="0"/>
    <w:pPr>
      <w:widowControl/>
      <w:tabs>
        <w:tab w:val="left" w:pos="5670"/>
        <w:tab w:val="left" w:pos="7371"/>
      </w:tabs>
      <w:spacing w:after="240" w:line="300" w:lineRule="auto"/>
      <w:ind w:left="3969" w:hanging="2835"/>
      <w:jc w:val="left"/>
    </w:pPr>
    <w:rPr>
      <w:rFonts w:ascii="Arial" w:hAnsi="Arial" w:eastAsia="Times New Roman"/>
      <w:kern w:val="0"/>
      <w:sz w:val="22"/>
      <w:szCs w:val="20"/>
      <w:lang w:val="de-DE"/>
    </w:rPr>
  </w:style>
  <w:style w:type="paragraph" w:customStyle="1" w:styleId="134">
    <w:name w:val="目录1"/>
    <w:basedOn w:val="1"/>
    <w:uiPriority w:val="0"/>
    <w:pPr>
      <w:spacing w:line="300" w:lineRule="auto"/>
      <w:ind w:left="50" w:leftChars="50"/>
    </w:pPr>
    <w:rPr>
      <w:rFonts w:ascii="Arial Narrow" w:hAnsi="Arial Narrow" w:eastAsia="仿宋_GB2312"/>
      <w:b/>
      <w:sz w:val="24"/>
    </w:rPr>
  </w:style>
  <w:style w:type="paragraph" w:customStyle="1" w:styleId="135">
    <w:name w:val="样式 五号 行距: 单倍行距 首行缩进:  0.5 字符"/>
    <w:basedOn w:val="1"/>
    <w:uiPriority w:val="0"/>
    <w:pPr>
      <w:ind w:right="147" w:rightChars="147" w:firstLine="50" w:firstLineChars="50"/>
      <w:jc w:val="right"/>
    </w:pPr>
    <w:rPr>
      <w:rFonts w:ascii="Arial Narrow" w:hAnsi="Arial Narrow" w:eastAsia="仿宋_GB2312"/>
      <w:szCs w:val="21"/>
    </w:rPr>
  </w:style>
  <w:style w:type="paragraph" w:customStyle="1" w:styleId="136">
    <w:name w:val="样式 样式 五号 行距: 单倍行距 首行缩进:  0.5 字符 + 首行缩进:  0.5 字符 右侧:  1.47 字符"/>
    <w:basedOn w:val="135"/>
    <w:uiPriority w:val="0"/>
    <w:pPr>
      <w:ind w:right="353" w:firstLine="105"/>
      <w:jc w:val="left"/>
    </w:pPr>
    <w:rPr>
      <w:szCs w:val="20"/>
    </w:rPr>
  </w:style>
  <w:style w:type="paragraph" w:customStyle="1" w:styleId="137">
    <w:name w:val="表格文字两端对齐"/>
    <w:basedOn w:val="128"/>
    <w:uiPriority w:val="0"/>
    <w:pPr>
      <w:ind w:firstLine="0" w:firstLineChars="0"/>
    </w:pPr>
    <w:rPr>
      <w:rFonts w:ascii="Arial Narrow" w:hAnsi="Arial Narrow" w:eastAsia="仿宋_GB2312"/>
    </w:rPr>
  </w:style>
  <w:style w:type="paragraph" w:customStyle="1" w:styleId="138">
    <w:name w:val="封面分册"/>
    <w:basedOn w:val="118"/>
    <w:next w:val="118"/>
    <w:uiPriority w:val="0"/>
    <w:rPr>
      <w:sz w:val="32"/>
    </w:rPr>
  </w:style>
  <w:style w:type="paragraph" w:customStyle="1" w:styleId="139">
    <w:name w:val="封面首行"/>
    <w:basedOn w:val="1"/>
    <w:next w:val="118"/>
    <w:uiPriority w:val="0"/>
    <w:pPr>
      <w:spacing w:line="300" w:lineRule="auto"/>
    </w:pPr>
    <w:rPr>
      <w:rFonts w:eastAsia="仿宋_GB2312"/>
      <w:b/>
      <w:sz w:val="24"/>
    </w:rPr>
  </w:style>
  <w:style w:type="paragraph" w:customStyle="1" w:styleId="140">
    <w:name w:val="表标题"/>
    <w:link w:val="298"/>
    <w:uiPriority w:val="0"/>
    <w:pPr>
      <w:spacing w:before="240" w:beforeLines="100" w:line="300" w:lineRule="auto"/>
      <w:jc w:val="center"/>
    </w:pPr>
    <w:rPr>
      <w:rFonts w:ascii="Arial Narrow" w:hAnsi="Arial Narrow" w:eastAsia="仿宋_GB2312"/>
      <w:b/>
      <w:bCs/>
      <w:spacing w:val="-4"/>
      <w:sz w:val="24"/>
      <w:szCs w:val="24"/>
      <w:lang w:val="en-US" w:eastAsia="zh-CN" w:bidi="ar-SA"/>
    </w:rPr>
  </w:style>
  <w:style w:type="paragraph" w:customStyle="1" w:styleId="141">
    <w:name w:val="表字"/>
    <w:basedOn w:val="1"/>
    <w:uiPriority w:val="0"/>
    <w:pPr>
      <w:spacing w:line="300" w:lineRule="auto"/>
      <w:jc w:val="center"/>
    </w:pPr>
    <w:rPr>
      <w:rFonts w:ascii="宋体"/>
      <w:szCs w:val="20"/>
    </w:rPr>
  </w:style>
  <w:style w:type="paragraph" w:customStyle="1" w:styleId="142">
    <w:name w:val="表中字"/>
    <w:uiPriority w:val="0"/>
    <w:pPr>
      <w:widowControl w:val="0"/>
      <w:adjustRightInd w:val="0"/>
      <w:snapToGrid w:val="0"/>
      <w:jc w:val="center"/>
    </w:pPr>
    <w:rPr>
      <w:w w:val="90"/>
      <w:sz w:val="21"/>
      <w:lang w:val="en-US" w:eastAsia="zh-CN" w:bidi="ar-SA"/>
    </w:rPr>
  </w:style>
  <w:style w:type="paragraph" w:customStyle="1" w:styleId="143">
    <w:name w:val="样式 样式 样式 五号 行距: 单倍行距 首行缩进:  0.5 字符 + 首行缩进:  0.5 字符 右侧:  1.47 字符 ..."/>
    <w:basedOn w:val="136"/>
    <w:uiPriority w:val="0"/>
    <w:pPr>
      <w:jc w:val="both"/>
    </w:pPr>
  </w:style>
  <w:style w:type="paragraph" w:customStyle="1" w:styleId="144">
    <w:name w:val="目录2"/>
    <w:basedOn w:val="3"/>
    <w:uiPriority w:val="0"/>
    <w:pPr>
      <w:tabs>
        <w:tab w:val="left" w:pos="1200"/>
      </w:tabs>
      <w:adjustRightInd w:val="0"/>
      <w:snapToGrid w:val="0"/>
      <w:spacing w:before="0" w:after="0" w:line="300" w:lineRule="auto"/>
      <w:ind w:left="340" w:hanging="340"/>
    </w:pPr>
    <w:rPr>
      <w:rFonts w:ascii="Arial Narrow" w:hAnsi="Arial Narrow" w:eastAsia="楷体_GB2312"/>
      <w:bCs/>
      <w:sz w:val="28"/>
      <w:szCs w:val="24"/>
    </w:rPr>
  </w:style>
  <w:style w:type="paragraph" w:customStyle="1" w:styleId="145">
    <w:name w:val="标准"/>
    <w:basedOn w:val="1"/>
    <w:uiPriority w:val="0"/>
    <w:pPr>
      <w:adjustRightInd w:val="0"/>
      <w:spacing w:line="312" w:lineRule="atLeast"/>
      <w:textAlignment w:val="baseline"/>
    </w:pPr>
    <w:rPr>
      <w:kern w:val="0"/>
      <w:szCs w:val="20"/>
    </w:rPr>
  </w:style>
  <w:style w:type="paragraph" w:customStyle="1" w:styleId="146">
    <w:name w:val="font5"/>
    <w:basedOn w:val="1"/>
    <w:uiPriority w:val="0"/>
    <w:pPr>
      <w:widowControl/>
      <w:spacing w:before="100" w:beforeAutospacing="1" w:after="100" w:afterAutospacing="1"/>
      <w:jc w:val="left"/>
    </w:pPr>
    <w:rPr>
      <w:rFonts w:hint="eastAsia" w:ascii="宋体" w:hAnsi="宋体" w:cs="Arial Unicode MS"/>
      <w:b/>
      <w:bCs/>
      <w:kern w:val="0"/>
      <w:sz w:val="32"/>
      <w:szCs w:val="32"/>
    </w:rPr>
  </w:style>
  <w:style w:type="paragraph" w:customStyle="1" w:styleId="147">
    <w:name w:val="font6"/>
    <w:basedOn w:val="1"/>
    <w:uiPriority w:val="0"/>
    <w:pPr>
      <w:widowControl/>
      <w:spacing w:before="100" w:beforeAutospacing="1" w:after="100" w:afterAutospacing="1"/>
      <w:jc w:val="left"/>
    </w:pPr>
    <w:rPr>
      <w:rFonts w:hint="eastAsia" w:ascii="宋体" w:hAnsi="宋体" w:cs="Arial Unicode MS"/>
      <w:kern w:val="0"/>
      <w:sz w:val="18"/>
      <w:szCs w:val="18"/>
    </w:rPr>
  </w:style>
  <w:style w:type="paragraph" w:customStyle="1" w:styleId="148">
    <w:name w:val="font7"/>
    <w:basedOn w:val="1"/>
    <w:uiPriority w:val="0"/>
    <w:pPr>
      <w:widowControl/>
      <w:spacing w:before="100" w:beforeAutospacing="1" w:after="100" w:afterAutospacing="1"/>
      <w:jc w:val="left"/>
    </w:pPr>
    <w:rPr>
      <w:rFonts w:hint="eastAsia" w:ascii="宋体" w:hAnsi="宋体" w:cs="Arial Unicode MS"/>
      <w:kern w:val="0"/>
      <w:sz w:val="20"/>
      <w:szCs w:val="20"/>
    </w:rPr>
  </w:style>
  <w:style w:type="paragraph" w:customStyle="1" w:styleId="149">
    <w:name w:val="xl2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Arial Unicode MS" w:hAnsi="Arial Unicode MS" w:eastAsia="Arial Unicode MS" w:cs="Arial Unicode MS"/>
      <w:kern w:val="0"/>
      <w:sz w:val="20"/>
      <w:szCs w:val="20"/>
    </w:rPr>
  </w:style>
  <w:style w:type="paragraph" w:customStyle="1" w:styleId="150">
    <w:name w:val="xl2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s="Arial Unicode MS"/>
      <w:kern w:val="0"/>
      <w:sz w:val="20"/>
      <w:szCs w:val="20"/>
    </w:rPr>
  </w:style>
  <w:style w:type="paragraph" w:customStyle="1" w:styleId="151">
    <w:name w:val="xl2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cs="Arial Unicode MS"/>
      <w:kern w:val="0"/>
      <w:sz w:val="20"/>
      <w:szCs w:val="20"/>
    </w:rPr>
  </w:style>
  <w:style w:type="paragraph" w:customStyle="1" w:styleId="152">
    <w:name w:val="xl27"/>
    <w:basedOn w:val="1"/>
    <w:uiPriority w:val="0"/>
    <w:pPr>
      <w:widowControl/>
      <w:pBdr>
        <w:bottom w:val="single" w:color="auto" w:sz="4" w:space="0"/>
      </w:pBdr>
      <w:spacing w:before="100" w:beforeAutospacing="1" w:after="100" w:afterAutospacing="1"/>
      <w:jc w:val="left"/>
    </w:pPr>
    <w:rPr>
      <w:rFonts w:ascii="Arial Unicode MS" w:hAnsi="Arial Unicode MS" w:eastAsia="Arial Unicode MS" w:cs="Arial Unicode MS"/>
      <w:kern w:val="0"/>
      <w:sz w:val="20"/>
      <w:szCs w:val="20"/>
    </w:rPr>
  </w:style>
  <w:style w:type="paragraph" w:customStyle="1" w:styleId="153">
    <w:name w:val="xl29"/>
    <w:basedOn w:val="1"/>
    <w:uiPriority w:val="0"/>
    <w:pPr>
      <w:widowControl/>
      <w:pBdr>
        <w:top w:val="single" w:color="auto" w:sz="4" w:space="0"/>
        <w:left w:val="single" w:color="auto" w:sz="4" w:space="0"/>
        <w:bottom w:val="single" w:color="auto" w:sz="4" w:space="0"/>
      </w:pBdr>
      <w:spacing w:before="100" w:beforeAutospacing="1" w:after="100" w:afterAutospacing="1"/>
      <w:jc w:val="center"/>
    </w:pPr>
    <w:rPr>
      <w:rFonts w:eastAsia="Arial Unicode MS"/>
      <w:kern w:val="0"/>
      <w:sz w:val="20"/>
      <w:szCs w:val="20"/>
    </w:rPr>
  </w:style>
  <w:style w:type="paragraph" w:customStyle="1" w:styleId="154">
    <w:name w:val="xl3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Arial Unicode MS" w:hAnsi="Arial Unicode MS" w:eastAsia="Arial Unicode MS" w:cs="Arial Unicode MS"/>
      <w:kern w:val="0"/>
      <w:sz w:val="20"/>
      <w:szCs w:val="20"/>
    </w:rPr>
  </w:style>
  <w:style w:type="paragraph" w:customStyle="1" w:styleId="155">
    <w:name w:val="xl31"/>
    <w:basedOn w:val="1"/>
    <w:uiPriority w:val="0"/>
    <w:pPr>
      <w:widowControl/>
      <w:pBdr>
        <w:top w:val="single" w:color="auto" w:sz="4" w:space="0"/>
        <w:left w:val="single" w:color="auto" w:sz="4" w:space="0"/>
        <w:bottom w:val="single" w:color="auto" w:sz="4" w:space="0"/>
      </w:pBdr>
      <w:spacing w:before="100" w:beforeAutospacing="1" w:after="100" w:afterAutospacing="1"/>
      <w:jc w:val="center"/>
    </w:pPr>
    <w:rPr>
      <w:rFonts w:ascii="Arial Unicode MS" w:hAnsi="Arial Unicode MS" w:eastAsia="Arial Unicode MS" w:cs="Arial Unicode MS"/>
      <w:kern w:val="0"/>
      <w:sz w:val="20"/>
      <w:szCs w:val="20"/>
    </w:rPr>
  </w:style>
  <w:style w:type="paragraph" w:customStyle="1" w:styleId="156">
    <w:name w:val="xl32"/>
    <w:basedOn w:val="1"/>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cs="Arial Unicode MS"/>
      <w:kern w:val="0"/>
      <w:sz w:val="20"/>
      <w:szCs w:val="20"/>
    </w:rPr>
  </w:style>
  <w:style w:type="paragraph" w:customStyle="1" w:styleId="157">
    <w:name w:val="xl3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s="Arial Unicode MS"/>
      <w:kern w:val="0"/>
      <w:sz w:val="20"/>
      <w:szCs w:val="20"/>
    </w:rPr>
  </w:style>
  <w:style w:type="paragraph" w:customStyle="1" w:styleId="158">
    <w:name w:val="样式4"/>
    <w:basedOn w:val="1"/>
    <w:uiPriority w:val="99"/>
    <w:pPr>
      <w:tabs>
        <w:tab w:val="left" w:pos="567"/>
      </w:tabs>
      <w:ind w:firstLine="567"/>
    </w:pPr>
    <w:rPr>
      <w:rFonts w:eastAsia="仿宋_GB2312"/>
      <w:sz w:val="28"/>
      <w:szCs w:val="20"/>
    </w:rPr>
  </w:style>
  <w:style w:type="paragraph" w:customStyle="1" w:styleId="159">
    <w:name w:val="CM12"/>
    <w:basedOn w:val="1"/>
    <w:next w:val="1"/>
    <w:uiPriority w:val="0"/>
    <w:pPr>
      <w:autoSpaceDE w:val="0"/>
      <w:autoSpaceDN w:val="0"/>
      <w:adjustRightInd w:val="0"/>
      <w:spacing w:line="468" w:lineRule="atLeast"/>
      <w:jc w:val="left"/>
    </w:pPr>
    <w:rPr>
      <w:rFonts w:ascii="宋体"/>
      <w:kern w:val="0"/>
      <w:sz w:val="24"/>
    </w:rPr>
  </w:style>
  <w:style w:type="paragraph" w:customStyle="1" w:styleId="160">
    <w:name w:val="CM13"/>
    <w:basedOn w:val="1"/>
    <w:next w:val="1"/>
    <w:uiPriority w:val="0"/>
    <w:pPr>
      <w:numPr>
        <w:ilvl w:val="3"/>
        <w:numId w:val="1"/>
      </w:numPr>
      <w:autoSpaceDE w:val="0"/>
      <w:autoSpaceDN w:val="0"/>
      <w:adjustRightInd w:val="0"/>
      <w:spacing w:line="468" w:lineRule="atLeast"/>
      <w:ind w:left="0" w:firstLine="0"/>
      <w:jc w:val="left"/>
    </w:pPr>
    <w:rPr>
      <w:rFonts w:ascii="宋体"/>
      <w:kern w:val="0"/>
      <w:sz w:val="24"/>
    </w:rPr>
  </w:style>
  <w:style w:type="paragraph" w:customStyle="1" w:styleId="161">
    <w:name w:val="中文表标题"/>
    <w:basedOn w:val="1"/>
    <w:next w:val="1"/>
    <w:uiPriority w:val="0"/>
    <w:pPr>
      <w:keepNext/>
      <w:widowControl/>
      <w:overflowPunct w:val="0"/>
      <w:adjustRightInd w:val="0"/>
      <w:snapToGrid w:val="0"/>
      <w:spacing w:before="480" w:after="360" w:line="500" w:lineRule="exact"/>
      <w:jc w:val="center"/>
      <w:textAlignment w:val="baseline"/>
    </w:pPr>
    <w:rPr>
      <w:kern w:val="0"/>
      <w:sz w:val="28"/>
      <w:szCs w:val="20"/>
    </w:rPr>
  </w:style>
  <w:style w:type="paragraph" w:customStyle="1" w:styleId="162">
    <w:name w:val="样式 楷体_GB2312 小四 居中 行距: 单倍行距"/>
    <w:basedOn w:val="1"/>
    <w:link w:val="301"/>
    <w:uiPriority w:val="0"/>
    <w:pPr>
      <w:jc w:val="center"/>
    </w:pPr>
    <w:rPr>
      <w:rFonts w:eastAsia="楷体_GB2312"/>
      <w:sz w:val="24"/>
    </w:rPr>
  </w:style>
  <w:style w:type="paragraph" w:customStyle="1" w:styleId="163">
    <w:name w:val=" Char1"/>
    <w:basedOn w:val="1"/>
    <w:uiPriority w:val="0"/>
    <w:pPr>
      <w:adjustRightInd w:val="0"/>
      <w:spacing w:line="360" w:lineRule="atLeast"/>
      <w:textAlignment w:val="baseline"/>
    </w:pPr>
    <w:rPr>
      <w:szCs w:val="21"/>
    </w:rPr>
  </w:style>
  <w:style w:type="paragraph" w:customStyle="1" w:styleId="164">
    <w:name w:val="样式 样式 标题 4 + 黑色 左侧:  -0.01 厘米 首行缩进:  0.01 厘米 + 左侧:  0 厘米 首行缩进: ..."/>
    <w:basedOn w:val="1"/>
    <w:uiPriority w:val="0"/>
    <w:pPr>
      <w:keepNext/>
      <w:keepLines/>
      <w:numPr>
        <w:ilvl w:val="3"/>
        <w:numId w:val="2"/>
      </w:numPr>
      <w:tabs>
        <w:tab w:val="left" w:pos="2160"/>
      </w:tabs>
      <w:spacing w:before="156" w:beforeLines="50" w:line="324" w:lineRule="auto"/>
      <w:outlineLvl w:val="3"/>
    </w:pPr>
    <w:rPr>
      <w:rFonts w:ascii="仿宋_GB2312" w:hAnsi="Arial" w:eastAsia="仿宋_GB2312" w:cs="宋体"/>
      <w:color w:val="000000"/>
      <w:sz w:val="28"/>
      <w:szCs w:val="20"/>
    </w:rPr>
  </w:style>
  <w:style w:type="paragraph" w:customStyle="1" w:styleId="165">
    <w:name w:val=" Char Char Char1 Char Char Char Char Char Char Char Char Char Char"/>
    <w:basedOn w:val="1"/>
    <w:uiPriority w:val="0"/>
    <w:rPr>
      <w:sz w:val="24"/>
    </w:rPr>
  </w:style>
  <w:style w:type="paragraph" w:customStyle="1" w:styleId="166">
    <w:name w:val="新正文"/>
    <w:basedOn w:val="1"/>
    <w:uiPriority w:val="0"/>
    <w:pPr>
      <w:spacing w:line="460" w:lineRule="exact"/>
      <w:ind w:firstLine="454"/>
    </w:pPr>
    <w:rPr>
      <w:rFonts w:ascii="宋体"/>
      <w:kern w:val="0"/>
      <w:sz w:val="24"/>
      <w:szCs w:val="20"/>
    </w:rPr>
  </w:style>
  <w:style w:type="paragraph" w:customStyle="1" w:styleId="167">
    <w:name w:val="表格式"/>
    <w:basedOn w:val="41"/>
    <w:uiPriority w:val="0"/>
    <w:pPr>
      <w:snapToGrid/>
      <w:spacing w:before="156" w:beforeLines="50" w:after="156" w:afterLines="50" w:line="200" w:lineRule="exact"/>
      <w:jc w:val="center"/>
    </w:pPr>
  </w:style>
  <w:style w:type="paragraph" w:customStyle="1" w:styleId="168">
    <w:name w:val="表格内容"/>
    <w:basedOn w:val="1"/>
    <w:link w:val="304"/>
    <w:qFormat/>
    <w:uiPriority w:val="0"/>
    <w:pPr>
      <w:autoSpaceDE w:val="0"/>
      <w:autoSpaceDN w:val="0"/>
      <w:adjustRightInd w:val="0"/>
      <w:spacing w:line="240" w:lineRule="exact"/>
      <w:ind w:firstLine="601"/>
      <w:textAlignment w:val="baseline"/>
    </w:pPr>
    <w:rPr>
      <w:rFonts w:eastAsia="楷体_GB2312"/>
      <w:color w:val="000000"/>
      <w:spacing w:val="8"/>
      <w:kern w:val="0"/>
      <w:sz w:val="28"/>
    </w:rPr>
  </w:style>
  <w:style w:type="paragraph" w:customStyle="1" w:styleId="169">
    <w:name w:val="5 Char"/>
    <w:basedOn w:val="1"/>
    <w:uiPriority w:val="0"/>
    <w:rPr>
      <w:sz w:val="24"/>
    </w:rPr>
  </w:style>
  <w:style w:type="paragraph" w:customStyle="1" w:styleId="170">
    <w:name w:val="Body Text 2"/>
    <w:basedOn w:val="1"/>
    <w:uiPriority w:val="99"/>
    <w:pPr>
      <w:adjustRightInd w:val="0"/>
      <w:spacing w:after="120"/>
      <w:ind w:left="420"/>
      <w:textAlignment w:val="baseline"/>
    </w:pPr>
    <w:rPr>
      <w:rFonts w:hint="eastAsia" w:ascii="宋体" w:hAnsi="宋体"/>
      <w:sz w:val="24"/>
      <w:szCs w:val="20"/>
    </w:rPr>
  </w:style>
  <w:style w:type="paragraph" w:customStyle="1" w:styleId="171">
    <w:name w:val="表格文字2"/>
    <w:basedOn w:val="1"/>
    <w:uiPriority w:val="99"/>
    <w:pPr>
      <w:tabs>
        <w:tab w:val="left" w:pos="277"/>
        <w:tab w:val="left" w:pos="600"/>
        <w:tab w:val="left" w:pos="780"/>
        <w:tab w:val="left" w:pos="2517"/>
      </w:tabs>
      <w:adjustRightInd w:val="0"/>
      <w:spacing w:before="60"/>
      <w:jc w:val="center"/>
      <w:textAlignment w:val="baseline"/>
    </w:pPr>
    <w:rPr>
      <w:kern w:val="0"/>
      <w:szCs w:val="21"/>
    </w:rPr>
  </w:style>
  <w:style w:type="paragraph" w:customStyle="1" w:styleId="172">
    <w:name w:val="二级无标题条"/>
    <w:basedOn w:val="1"/>
    <w:uiPriority w:val="0"/>
  </w:style>
  <w:style w:type="paragraph" w:customStyle="1" w:styleId="173">
    <w:name w:val="图文框"/>
    <w:basedOn w:val="1"/>
    <w:uiPriority w:val="0"/>
    <w:pPr>
      <w:spacing w:line="240" w:lineRule="exact"/>
      <w:jc w:val="center"/>
    </w:pPr>
    <w:rPr>
      <w:sz w:val="18"/>
    </w:rPr>
  </w:style>
  <w:style w:type="paragraph" w:customStyle="1" w:styleId="174">
    <w:name w:val="小四表文左齐"/>
    <w:basedOn w:val="1"/>
    <w:uiPriority w:val="0"/>
    <w:pPr>
      <w:numPr>
        <w:ilvl w:val="0"/>
        <w:numId w:val="3"/>
      </w:numPr>
      <w:ind w:left="0" w:firstLine="0"/>
      <w:jc w:val="center"/>
    </w:pPr>
    <w:rPr>
      <w:rFonts w:hAnsi="宋体"/>
      <w:sz w:val="24"/>
    </w:rPr>
  </w:style>
  <w:style w:type="paragraph" w:customStyle="1" w:styleId="175">
    <w:name w:val="chen表头1"/>
    <w:basedOn w:val="1"/>
    <w:link w:val="310"/>
    <w:uiPriority w:val="0"/>
    <w:pPr>
      <w:spacing w:after="120" w:line="500" w:lineRule="exact"/>
      <w:jc w:val="center"/>
    </w:pPr>
    <w:rPr>
      <w:rFonts w:eastAsia="楷体_GB2312"/>
      <w:b/>
      <w:kern w:val="0"/>
      <w:sz w:val="24"/>
      <w:szCs w:val="20"/>
    </w:rPr>
  </w:style>
  <w:style w:type="paragraph" w:customStyle="1" w:styleId="176">
    <w:name w:val="报告表格"/>
    <w:basedOn w:val="1"/>
    <w:link w:val="311"/>
    <w:uiPriority w:val="0"/>
    <w:pPr>
      <w:autoSpaceDE w:val="0"/>
      <w:autoSpaceDN w:val="0"/>
      <w:adjustRightInd w:val="0"/>
      <w:spacing w:line="400" w:lineRule="exact"/>
      <w:jc w:val="center"/>
      <w:textAlignment w:val="bottom"/>
    </w:pPr>
    <w:rPr>
      <w:kern w:val="0"/>
      <w:szCs w:val="21"/>
    </w:rPr>
  </w:style>
  <w:style w:type="paragraph" w:customStyle="1" w:styleId="177">
    <w:name w:val="正文01"/>
    <w:basedOn w:val="1"/>
    <w:uiPriority w:val="0"/>
    <w:pPr>
      <w:spacing w:before="40" w:line="420" w:lineRule="exact"/>
      <w:ind w:firstLine="200" w:firstLineChars="200"/>
    </w:pPr>
    <w:rPr>
      <w:bCs/>
      <w:sz w:val="24"/>
    </w:rPr>
  </w:style>
  <w:style w:type="paragraph" w:customStyle="1" w:styleId="178">
    <w:name w:val="正文图小四"/>
    <w:basedOn w:val="1"/>
    <w:uiPriority w:val="0"/>
    <w:pPr>
      <w:adjustRightInd w:val="0"/>
      <w:snapToGrid w:val="0"/>
      <w:jc w:val="center"/>
      <w:textAlignment w:val="baseline"/>
    </w:pPr>
    <w:rPr>
      <w:rFonts w:ascii="宋体"/>
      <w:kern w:val="0"/>
      <w:sz w:val="24"/>
    </w:rPr>
  </w:style>
  <w:style w:type="paragraph" w:customStyle="1" w:styleId="179">
    <w:name w:val="页眉左"/>
    <w:basedOn w:val="37"/>
    <w:uiPriority w:val="0"/>
    <w:pPr>
      <w:numPr>
        <w:ilvl w:val="0"/>
        <w:numId w:val="4"/>
      </w:numPr>
      <w:pBdr>
        <w:bottom w:val="none" w:color="auto" w:sz="0" w:space="0"/>
      </w:pBdr>
      <w:tabs>
        <w:tab w:val="left" w:pos="780"/>
        <w:tab w:val="clear" w:pos="4153"/>
        <w:tab w:val="clear" w:pos="8306"/>
      </w:tabs>
      <w:adjustRightInd w:val="0"/>
      <w:snapToGrid/>
      <w:spacing w:before="60" w:after="60" w:line="240" w:lineRule="atLeast"/>
      <w:ind w:left="0" w:firstLine="0"/>
      <w:jc w:val="left"/>
      <w:textAlignment w:val="baseline"/>
    </w:pPr>
    <w:rPr>
      <w:kern w:val="0"/>
      <w:sz w:val="22"/>
      <w:szCs w:val="20"/>
      <w:lang w:val="en-GB" w:eastAsia="zh-CN"/>
    </w:rPr>
  </w:style>
  <w:style w:type="paragraph" w:customStyle="1" w:styleId="180">
    <w:name w:val="默认段落字体 Para Char Char Char1 Char Char Char Char Char Char Char Char Char Char"/>
    <w:basedOn w:val="1"/>
    <w:uiPriority w:val="0"/>
    <w:rPr>
      <w:rFonts w:ascii="宋体"/>
      <w:sz w:val="24"/>
    </w:rPr>
  </w:style>
  <w:style w:type="paragraph" w:customStyle="1" w:styleId="181">
    <w:name w:val="图表文字"/>
    <w:basedOn w:val="1"/>
    <w:uiPriority w:val="0"/>
    <w:pPr>
      <w:jc w:val="center"/>
    </w:pPr>
    <w:rPr>
      <w:rFonts w:ascii="仿宋_GB2312" w:eastAsia="仿宋_GB2312"/>
    </w:rPr>
  </w:style>
  <w:style w:type="paragraph" w:customStyle="1" w:styleId="182">
    <w:name w:val="标题正4"/>
    <w:basedOn w:val="1"/>
    <w:uiPriority w:val="0"/>
    <w:pPr>
      <w:spacing w:line="280" w:lineRule="exact"/>
      <w:jc w:val="center"/>
    </w:pPr>
    <w:rPr>
      <w:rFonts w:ascii="仿宋_GB2312" w:hAnsi="宋体" w:eastAsia="仿宋_GB2312"/>
      <w:kern w:val="0"/>
      <w:szCs w:val="21"/>
    </w:rPr>
  </w:style>
  <w:style w:type="paragraph" w:customStyle="1" w:styleId="183">
    <w:name w:val="无间隔1"/>
    <w:qFormat/>
    <w:uiPriority w:val="0"/>
    <w:pPr>
      <w:widowControl w:val="0"/>
    </w:pPr>
    <w:rPr>
      <w:rFonts w:ascii="Calibri" w:hAnsi="Calibri"/>
      <w:kern w:val="2"/>
      <w:sz w:val="28"/>
      <w:szCs w:val="22"/>
      <w:lang w:val="en-US" w:eastAsia="zh-CN" w:bidi="ar-SA"/>
    </w:rPr>
  </w:style>
  <w:style w:type="paragraph" w:customStyle="1" w:styleId="184">
    <w:name w:val="正式用 表"/>
    <w:uiPriority w:val="0"/>
    <w:pPr>
      <w:numPr>
        <w:ilvl w:val="0"/>
        <w:numId w:val="5"/>
      </w:numPr>
      <w:spacing w:line="216" w:lineRule="auto"/>
      <w:ind w:left="0" w:leftChars="0" w:firstLine="0" w:firstLineChars="0"/>
      <w:jc w:val="center"/>
    </w:pPr>
    <w:rPr>
      <w:rFonts w:ascii="宋体" w:hAnsi="宋体"/>
      <w:sz w:val="21"/>
      <w:szCs w:val="21"/>
      <w:lang w:val="en-US" w:eastAsia="zh-CN" w:bidi="ar-SA"/>
    </w:rPr>
  </w:style>
  <w:style w:type="paragraph" w:customStyle="1" w:styleId="185">
    <w:name w:val=" Char Char Char Char1 Char Char Char Char Char Char Char"/>
    <w:basedOn w:val="1"/>
    <w:uiPriority w:val="0"/>
    <w:pPr>
      <w:numPr>
        <w:ilvl w:val="0"/>
        <w:numId w:val="6"/>
      </w:numPr>
      <w:tabs>
        <w:tab w:val="left" w:pos="360"/>
      </w:tabs>
      <w:snapToGrid w:val="0"/>
      <w:spacing w:line="360" w:lineRule="auto"/>
      <w:ind w:left="0" w:leftChars="0" w:firstLine="0" w:firstLineChars="0"/>
    </w:pPr>
    <w:rPr>
      <w:rFonts w:eastAsia="仿宋_GB2312" w:cs="宋体"/>
      <w:sz w:val="24"/>
    </w:rPr>
  </w:style>
  <w:style w:type="paragraph" w:customStyle="1" w:styleId="186">
    <w:name w:val="样式 列表 + 左侧:  0 厘米 悬挂缩进: 5.85 字符"/>
    <w:basedOn w:val="41"/>
    <w:uiPriority w:val="99"/>
    <w:pPr>
      <w:autoSpaceDE w:val="0"/>
      <w:autoSpaceDN w:val="0"/>
      <w:adjustRightInd w:val="0"/>
      <w:spacing w:line="240" w:lineRule="auto"/>
      <w:ind w:left="-2" w:leftChars="-8" w:hanging="17" w:hangingChars="8"/>
      <w:jc w:val="center"/>
    </w:pPr>
    <w:rPr>
      <w:rFonts w:ascii="宋体" w:hAnsi="宋体" w:cs="宋体"/>
      <w:szCs w:val="21"/>
      <w:lang w:val="zh-CN" w:eastAsia="zh-CN"/>
    </w:rPr>
  </w:style>
  <w:style w:type="paragraph" w:customStyle="1" w:styleId="187">
    <w:name w:val="样式 标题 3 + (西文) Times New Roman (中文) 宋体 小四 加粗"/>
    <w:basedOn w:val="4"/>
    <w:uiPriority w:val="0"/>
    <w:pPr>
      <w:numPr>
        <w:ilvl w:val="1"/>
        <w:numId w:val="7"/>
      </w:numPr>
      <w:tabs>
        <w:tab w:val="left" w:pos="1021"/>
      </w:tabs>
      <w:adjustRightInd w:val="0"/>
      <w:snapToGrid w:val="0"/>
      <w:spacing w:before="156" w:beforeLines="50" w:after="0" w:line="360" w:lineRule="auto"/>
      <w:ind w:left="1021" w:hanging="1021"/>
      <w:jc w:val="left"/>
    </w:pPr>
    <w:rPr>
      <w:rFonts w:ascii="宋体" w:hAnsi="宋体" w:cs="宋体"/>
      <w:snapToGrid w:val="0"/>
      <w:kern w:val="0"/>
      <w:sz w:val="24"/>
      <w:szCs w:val="24"/>
    </w:rPr>
  </w:style>
  <w:style w:type="paragraph" w:customStyle="1" w:styleId="188">
    <w:name w:val="样式 样式 标题 2节 + (西文) Times New Roman (中文) 宋体 四号 段前: 0.5 行 段后: 0......"/>
    <w:basedOn w:val="1"/>
    <w:uiPriority w:val="0"/>
    <w:pPr>
      <w:keepNext/>
      <w:keepLines/>
      <w:numPr>
        <w:ilvl w:val="1"/>
        <w:numId w:val="8"/>
      </w:numPr>
      <w:adjustRightInd w:val="0"/>
      <w:snapToGrid w:val="0"/>
      <w:spacing w:before="156" w:beforeLines="50" w:line="360" w:lineRule="auto"/>
      <w:outlineLvl w:val="1"/>
    </w:pPr>
    <w:rPr>
      <w:rFonts w:ascii="宋体" w:hAnsi="宋体"/>
      <w:b/>
      <w:bCs/>
      <w:sz w:val="30"/>
      <w:szCs w:val="30"/>
      <w:lang w:val="zh-CN" w:eastAsia="zh-CN"/>
    </w:rPr>
  </w:style>
  <w:style w:type="paragraph" w:customStyle="1" w:styleId="189">
    <w:name w:val=" Char Char5 Char Char"/>
    <w:basedOn w:val="1"/>
    <w:uiPriority w:val="0"/>
    <w:pPr>
      <w:spacing w:line="360" w:lineRule="auto"/>
      <w:ind w:firstLine="200" w:firstLineChars="200"/>
    </w:pPr>
    <w:rPr>
      <w:rFonts w:ascii="宋体" w:hAnsi="宋体" w:cs="宋体"/>
      <w:sz w:val="24"/>
      <w:szCs w:val="20"/>
    </w:rPr>
  </w:style>
  <w:style w:type="paragraph" w:styleId="190">
    <w:name w:val=""/>
    <w:basedOn w:val="1"/>
    <w:next w:val="1"/>
    <w:link w:val="317"/>
    <w:uiPriority w:val="0"/>
    <w:pPr>
      <w:pBdr>
        <w:top w:val="single" w:color="auto" w:sz="6" w:space="1"/>
      </w:pBdr>
      <w:adjustRightInd w:val="0"/>
      <w:snapToGrid w:val="0"/>
      <w:spacing w:line="300" w:lineRule="auto"/>
      <w:jc w:val="center"/>
    </w:pPr>
    <w:rPr>
      <w:rFonts w:ascii="Arial" w:hAnsi="Arial"/>
      <w:vanish/>
      <w:sz w:val="16"/>
      <w:szCs w:val="16"/>
    </w:rPr>
  </w:style>
  <w:style w:type="paragraph" w:styleId="191">
    <w:name w:val=""/>
    <w:basedOn w:val="1"/>
    <w:next w:val="1"/>
    <w:link w:val="318"/>
    <w:uiPriority w:val="0"/>
    <w:pPr>
      <w:pBdr>
        <w:bottom w:val="single" w:color="auto" w:sz="6" w:space="1"/>
      </w:pBdr>
      <w:adjustRightInd w:val="0"/>
      <w:snapToGrid w:val="0"/>
      <w:spacing w:line="300" w:lineRule="auto"/>
      <w:jc w:val="center"/>
    </w:pPr>
    <w:rPr>
      <w:rFonts w:ascii="Arial" w:hAnsi="Arial"/>
      <w:vanish/>
      <w:sz w:val="16"/>
      <w:szCs w:val="16"/>
    </w:rPr>
  </w:style>
  <w:style w:type="paragraph" w:customStyle="1" w:styleId="192">
    <w:name w:val="公式样式1"/>
    <w:basedOn w:val="1"/>
    <w:uiPriority w:val="0"/>
    <w:pPr>
      <w:adjustRightInd w:val="0"/>
      <w:snapToGrid w:val="0"/>
    </w:pPr>
    <w:rPr>
      <w:sz w:val="24"/>
    </w:rPr>
  </w:style>
  <w:style w:type="paragraph" w:customStyle="1" w:styleId="193">
    <w:name w:val="框图"/>
    <w:basedOn w:val="1"/>
    <w:uiPriority w:val="0"/>
    <w:pPr>
      <w:adjustRightInd w:val="0"/>
      <w:snapToGrid w:val="0"/>
      <w:ind w:left="2" w:leftChars="-38" w:right="-106" w:rightChars="-38" w:hanging="108" w:hangingChars="54"/>
      <w:jc w:val="center"/>
    </w:pPr>
    <w:rPr>
      <w:sz w:val="20"/>
      <w:szCs w:val="20"/>
    </w:rPr>
  </w:style>
  <w:style w:type="paragraph" w:customStyle="1" w:styleId="194">
    <w:name w:val="表中文字1"/>
    <w:uiPriority w:val="0"/>
    <w:pPr>
      <w:widowControl w:val="0"/>
      <w:adjustRightInd w:val="0"/>
      <w:snapToGrid w:val="0"/>
      <w:jc w:val="center"/>
    </w:pPr>
    <w:rPr>
      <w:rFonts w:ascii="仿宋_GB2312" w:eastAsia="仿宋_GB2312"/>
      <w:kern w:val="2"/>
      <w:sz w:val="24"/>
      <w:szCs w:val="24"/>
      <w:lang w:val="en-US" w:eastAsia="zh-CN" w:bidi="ar-SA"/>
    </w:rPr>
  </w:style>
  <w:style w:type="paragraph" w:customStyle="1" w:styleId="195">
    <w:name w:val="样式 标题 3 + 黑色 段前: 0行 段后: 0 行"/>
    <w:basedOn w:val="4"/>
    <w:uiPriority w:val="0"/>
    <w:pPr>
      <w:tabs>
        <w:tab w:val="left" w:pos="1560"/>
      </w:tabs>
      <w:adjustRightInd w:val="0"/>
      <w:snapToGrid w:val="0"/>
      <w:spacing w:before="60" w:beforeLines="25" w:after="60" w:afterLines="25" w:line="312" w:lineRule="auto"/>
      <w:ind w:left="1560" w:hanging="720"/>
    </w:pPr>
    <w:rPr>
      <w:rFonts w:cs="宋体"/>
      <w:b w:val="0"/>
      <w:bCs w:val="0"/>
      <w:sz w:val="24"/>
      <w:szCs w:val="20"/>
    </w:rPr>
  </w:style>
  <w:style w:type="paragraph" w:customStyle="1" w:styleId="196">
    <w:name w:val="表字1"/>
    <w:basedOn w:val="1"/>
    <w:uiPriority w:val="0"/>
    <w:pPr>
      <w:adjustRightInd w:val="0"/>
      <w:spacing w:line="360" w:lineRule="auto"/>
      <w:jc w:val="center"/>
      <w:textAlignment w:val="baseline"/>
    </w:pPr>
    <w:rPr>
      <w:rFonts w:ascii="宋体"/>
      <w:kern w:val="0"/>
      <w:szCs w:val="20"/>
    </w:rPr>
  </w:style>
  <w:style w:type="paragraph" w:customStyle="1" w:styleId="197">
    <w:name w:val="我的样式（正文）"/>
    <w:basedOn w:val="1"/>
    <w:uiPriority w:val="0"/>
    <w:pPr>
      <w:spacing w:line="440" w:lineRule="exact"/>
    </w:pPr>
    <w:rPr>
      <w:rFonts w:ascii="宋体"/>
      <w:sz w:val="24"/>
      <w:szCs w:val="20"/>
    </w:rPr>
  </w:style>
  <w:style w:type="paragraph" w:customStyle="1" w:styleId="198">
    <w:name w:val="4"/>
    <w:basedOn w:val="1"/>
    <w:next w:val="23"/>
    <w:uiPriority w:val="0"/>
    <w:pPr>
      <w:adjustRightInd w:val="0"/>
      <w:snapToGrid w:val="0"/>
      <w:spacing w:line="300" w:lineRule="auto"/>
      <w:ind w:firstLine="564"/>
    </w:pPr>
    <w:rPr>
      <w:sz w:val="24"/>
    </w:rPr>
  </w:style>
  <w:style w:type="paragraph" w:customStyle="1" w:styleId="199">
    <w:name w:val="样式 标题 4 + 黑色 左侧:  -0.01 厘米 首行缩进:  0.01 厘米"/>
    <w:basedOn w:val="5"/>
    <w:uiPriority w:val="0"/>
    <w:pPr>
      <w:tabs>
        <w:tab w:val="left" w:pos="1680"/>
      </w:tabs>
      <w:spacing w:before="156" w:beforeLines="50" w:after="0" w:line="324" w:lineRule="auto"/>
      <w:ind w:left="1680" w:hanging="420"/>
    </w:pPr>
    <w:rPr>
      <w:rFonts w:ascii="Times New Roman" w:eastAsia="宋体" w:cs="宋体"/>
      <w:b w:val="0"/>
      <w:bCs w:val="0"/>
      <w:color w:val="000000"/>
      <w:sz w:val="24"/>
      <w:szCs w:val="20"/>
    </w:rPr>
  </w:style>
  <w:style w:type="paragraph" w:customStyle="1" w:styleId="200">
    <w:name w:val="表格1"/>
    <w:basedOn w:val="1"/>
    <w:uiPriority w:val="0"/>
    <w:pPr>
      <w:adjustRightInd w:val="0"/>
      <w:spacing w:line="360" w:lineRule="atLeast"/>
      <w:jc w:val="center"/>
      <w:textAlignment w:val="baseline"/>
    </w:pPr>
    <w:rPr>
      <w:rFonts w:ascii="CG Times (WN)"/>
      <w:kern w:val="0"/>
      <w:szCs w:val="20"/>
    </w:rPr>
  </w:style>
  <w:style w:type="paragraph" w:customStyle="1" w:styleId="201">
    <w:name w:val="正文(黑体)"/>
    <w:basedOn w:val="1"/>
    <w:uiPriority w:val="0"/>
    <w:pPr>
      <w:autoSpaceDE w:val="0"/>
      <w:autoSpaceDN w:val="0"/>
      <w:adjustRightInd w:val="0"/>
      <w:spacing w:line="288" w:lineRule="auto"/>
      <w:ind w:firstLine="482"/>
      <w:textAlignment w:val="baseline"/>
    </w:pPr>
    <w:rPr>
      <w:rFonts w:ascii="黑体"/>
      <w:kern w:val="0"/>
      <w:sz w:val="24"/>
      <w:szCs w:val="20"/>
    </w:rPr>
  </w:style>
  <w:style w:type="paragraph" w:customStyle="1" w:styleId="202">
    <w:name w:val="三级无标题条"/>
    <w:basedOn w:val="1"/>
    <w:uiPriority w:val="0"/>
  </w:style>
  <w:style w:type="paragraph" w:customStyle="1" w:styleId="203">
    <w:name w:val="四级无标题条"/>
    <w:basedOn w:val="1"/>
    <w:uiPriority w:val="0"/>
  </w:style>
  <w:style w:type="paragraph" w:customStyle="1" w:styleId="204">
    <w:name w:val="五级无标题条"/>
    <w:basedOn w:val="1"/>
    <w:uiPriority w:val="0"/>
  </w:style>
  <w:style w:type="paragraph" w:customStyle="1" w:styleId="205">
    <w:name w:val="一级无标题条"/>
    <w:basedOn w:val="1"/>
    <w:uiPriority w:val="0"/>
  </w:style>
  <w:style w:type="paragraph" w:customStyle="1" w:styleId="206">
    <w:name w:val="样式11"/>
    <w:basedOn w:val="1"/>
    <w:uiPriority w:val="0"/>
    <w:pPr>
      <w:numPr>
        <w:ilvl w:val="2"/>
        <w:numId w:val="3"/>
      </w:numPr>
      <w:tabs>
        <w:tab w:val="left" w:pos="1680"/>
      </w:tabs>
      <w:adjustRightInd w:val="0"/>
      <w:snapToGrid w:val="0"/>
      <w:spacing w:line="360" w:lineRule="auto"/>
    </w:pPr>
    <w:rPr>
      <w:sz w:val="24"/>
    </w:rPr>
  </w:style>
  <w:style w:type="paragraph" w:customStyle="1" w:styleId="207">
    <w:name w:val="正文楷体"/>
    <w:basedOn w:val="1"/>
    <w:uiPriority w:val="0"/>
    <w:rPr>
      <w:rFonts w:eastAsia="楷体_GB2312"/>
    </w:rPr>
  </w:style>
  <w:style w:type="paragraph" w:customStyle="1" w:styleId="208">
    <w:name w:val="新正文样式"/>
    <w:basedOn w:val="1"/>
    <w:uiPriority w:val="0"/>
    <w:pPr>
      <w:tabs>
        <w:tab w:val="left" w:pos="567"/>
      </w:tabs>
      <w:spacing w:line="360" w:lineRule="auto"/>
      <w:ind w:firstLine="567"/>
    </w:pPr>
    <w:rPr>
      <w:spacing w:val="20"/>
      <w:sz w:val="24"/>
      <w:szCs w:val="20"/>
    </w:rPr>
  </w:style>
  <w:style w:type="paragraph" w:customStyle="1" w:styleId="209">
    <w:name w:val="宏福4"/>
    <w:basedOn w:val="1"/>
    <w:uiPriority w:val="0"/>
    <w:pPr>
      <w:adjustRightInd w:val="0"/>
      <w:spacing w:line="400" w:lineRule="atLeast"/>
      <w:ind w:firstLine="567"/>
      <w:jc w:val="left"/>
      <w:textAlignment w:val="baseline"/>
    </w:pPr>
    <w:rPr>
      <w:sz w:val="24"/>
      <w:szCs w:val="20"/>
    </w:rPr>
  </w:style>
  <w:style w:type="paragraph" w:customStyle="1" w:styleId="210">
    <w:name w:val="小4仿宋居中行1"/>
    <w:uiPriority w:val="0"/>
    <w:pPr>
      <w:widowControl w:val="0"/>
      <w:ind w:left="-573" w:right="-59" w:firstLine="494"/>
      <w:jc w:val="center"/>
    </w:pPr>
    <w:rPr>
      <w:rFonts w:eastAsia="仿宋_GB2312"/>
      <w:sz w:val="24"/>
      <w:lang w:val="en-US" w:eastAsia="zh-CN" w:bidi="ar-SA"/>
    </w:rPr>
  </w:style>
  <w:style w:type="paragraph" w:customStyle="1" w:styleId="211">
    <w:name w:val="样式2"/>
    <w:basedOn w:val="4"/>
    <w:uiPriority w:val="0"/>
    <w:pPr>
      <w:numPr>
        <w:ilvl w:val="2"/>
        <w:numId w:val="9"/>
      </w:numPr>
      <w:tabs>
        <w:tab w:val="left" w:pos="0"/>
      </w:tabs>
      <w:spacing w:before="0" w:after="0" w:line="360" w:lineRule="auto"/>
      <w:ind w:left="0" w:firstLine="0"/>
      <w:jc w:val="left"/>
    </w:pPr>
    <w:rPr>
      <w:rFonts w:ascii="宋体" w:hAnsi="宋体"/>
      <w:b w:val="0"/>
      <w:bCs w:val="0"/>
      <w:sz w:val="24"/>
      <w:szCs w:val="20"/>
    </w:rPr>
  </w:style>
  <w:style w:type="paragraph" w:customStyle="1" w:styleId="212">
    <w:name w:val="小四宋居中1.0"/>
    <w:basedOn w:val="1"/>
    <w:next w:val="1"/>
    <w:uiPriority w:val="0"/>
    <w:pPr>
      <w:adjustRightInd w:val="0"/>
      <w:jc w:val="center"/>
      <w:textAlignment w:val="baseline"/>
    </w:pPr>
    <w:rPr>
      <w:rFonts w:ascii="宋体" w:hAnsi="Arial Black"/>
      <w:sz w:val="24"/>
      <w:szCs w:val="20"/>
    </w:rPr>
  </w:style>
  <w:style w:type="paragraph" w:customStyle="1" w:styleId="213">
    <w:name w:val=" Char Char Char Char Char Char Char Char Char"/>
    <w:basedOn w:val="1"/>
    <w:uiPriority w:val="0"/>
    <w:rPr>
      <w:sz w:val="24"/>
    </w:rPr>
  </w:style>
  <w:style w:type="paragraph" w:customStyle="1" w:styleId="214">
    <w:name w:val=" Char Char Char Char Char Char Char Char Char1 Char"/>
    <w:basedOn w:val="1"/>
    <w:uiPriority w:val="0"/>
    <w:rPr>
      <w:sz w:val="24"/>
    </w:rPr>
  </w:style>
  <w:style w:type="paragraph" w:customStyle="1" w:styleId="215">
    <w:name w:val=" Char Char Char Char Char Char Char Char Char1 Char Char Char Char Char Char Char"/>
    <w:basedOn w:val="1"/>
    <w:uiPriority w:val="0"/>
    <w:rPr>
      <w:sz w:val="24"/>
    </w:rPr>
  </w:style>
  <w:style w:type="paragraph" w:customStyle="1" w:styleId="216">
    <w:name w:val="样式 正文不缩进 +"/>
    <w:basedOn w:val="19"/>
    <w:uiPriority w:val="0"/>
    <w:pPr>
      <w:adjustRightInd w:val="0"/>
      <w:snapToGrid w:val="0"/>
      <w:spacing w:line="360" w:lineRule="auto"/>
      <w:ind w:firstLine="0" w:firstLineChars="0"/>
    </w:pPr>
    <w:rPr>
      <w:rFonts w:eastAsia="仿宋_GB2312" w:cs="宋体"/>
      <w:sz w:val="28"/>
      <w:szCs w:val="20"/>
    </w:rPr>
  </w:style>
  <w:style w:type="paragraph" w:customStyle="1" w:styleId="217">
    <w:name w:val="宋体 四号"/>
    <w:basedOn w:val="1"/>
    <w:uiPriority w:val="0"/>
    <w:pPr>
      <w:spacing w:before="50" w:beforeLines="50" w:after="50" w:afterLines="50" w:line="300" w:lineRule="auto"/>
      <w:ind w:firstLine="200" w:firstLineChars="200"/>
      <w:jc w:val="left"/>
    </w:pPr>
    <w:rPr>
      <w:rFonts w:cs="宋体"/>
      <w:kern w:val="0"/>
      <w:sz w:val="24"/>
      <w:szCs w:val="28"/>
    </w:rPr>
  </w:style>
  <w:style w:type="paragraph" w:customStyle="1" w:styleId="218">
    <w:name w:val="宏福3"/>
    <w:basedOn w:val="4"/>
    <w:uiPriority w:val="0"/>
    <w:pPr>
      <w:snapToGrid w:val="0"/>
      <w:spacing w:before="240" w:after="0" w:line="240" w:lineRule="auto"/>
    </w:pPr>
    <w:rPr>
      <w:b w:val="0"/>
      <w:bCs w:val="0"/>
      <w:sz w:val="24"/>
      <w:szCs w:val="20"/>
    </w:rPr>
  </w:style>
  <w:style w:type="paragraph" w:customStyle="1" w:styleId="219">
    <w:name w:val="Char Char Char Char Char Char Char"/>
    <w:basedOn w:val="1"/>
    <w:uiPriority w:val="0"/>
    <w:rPr>
      <w:sz w:val="24"/>
    </w:rPr>
  </w:style>
  <w:style w:type="paragraph" w:customStyle="1" w:styleId="220">
    <w:name w:val="列图"/>
    <w:basedOn w:val="41"/>
    <w:next w:val="1"/>
    <w:uiPriority w:val="0"/>
    <w:pPr>
      <w:keepLines/>
      <w:adjustRightInd w:val="0"/>
      <w:snapToGrid/>
      <w:spacing w:before="120" w:line="276" w:lineRule="auto"/>
      <w:jc w:val="center"/>
      <w:textAlignment w:val="baseline"/>
    </w:pPr>
    <w:rPr>
      <w:kern w:val="28"/>
      <w:sz w:val="24"/>
    </w:rPr>
  </w:style>
  <w:style w:type="paragraph" w:customStyle="1" w:styleId="221">
    <w:name w:val="font18"/>
    <w:basedOn w:val="1"/>
    <w:uiPriority w:val="0"/>
    <w:pPr>
      <w:widowControl/>
      <w:spacing w:before="100" w:beforeAutospacing="1" w:after="100" w:afterAutospacing="1" w:line="408" w:lineRule="auto"/>
      <w:jc w:val="left"/>
    </w:pPr>
    <w:rPr>
      <w:rFonts w:ascii="宋体" w:hAnsi="宋体"/>
      <w:kern w:val="0"/>
      <w:sz w:val="22"/>
      <w:szCs w:val="22"/>
    </w:rPr>
  </w:style>
  <w:style w:type="paragraph" w:customStyle="1" w:styleId="222">
    <w:name w:val="样式3"/>
    <w:basedOn w:val="4"/>
    <w:uiPriority w:val="0"/>
    <w:pPr>
      <w:tabs>
        <w:tab w:val="left" w:pos="720"/>
        <w:tab w:val="left" w:pos="1312"/>
      </w:tabs>
      <w:adjustRightInd w:val="0"/>
      <w:snapToGrid w:val="0"/>
      <w:spacing w:before="120" w:beforeLines="50" w:after="0" w:line="320" w:lineRule="atLeast"/>
      <w:ind w:left="720" w:hanging="720"/>
    </w:pPr>
    <w:rPr>
      <w:rFonts w:ascii="宋体" w:hAnsi="宋体"/>
      <w:b w:val="0"/>
      <w:sz w:val="24"/>
      <w:szCs w:val="28"/>
    </w:rPr>
  </w:style>
  <w:style w:type="paragraph" w:customStyle="1" w:styleId="223">
    <w:name w:val="样式6"/>
    <w:basedOn w:val="2"/>
    <w:uiPriority w:val="0"/>
    <w:pPr>
      <w:tabs>
        <w:tab w:val="left" w:pos="164"/>
        <w:tab w:val="left" w:pos="540"/>
      </w:tabs>
      <w:adjustRightInd/>
      <w:spacing w:before="240" w:after="240" w:line="360" w:lineRule="atLeast"/>
      <w:ind w:left="540" w:right="260" w:hanging="540"/>
      <w:textAlignment w:val="auto"/>
    </w:pPr>
    <w:rPr>
      <w:rFonts w:eastAsia="宋体"/>
      <w:b/>
      <w:bCs/>
      <w:color w:val="000000"/>
      <w:sz w:val="32"/>
      <w:szCs w:val="44"/>
    </w:rPr>
  </w:style>
  <w:style w:type="paragraph" w:customStyle="1" w:styleId="224">
    <w:name w:val="样式7"/>
    <w:basedOn w:val="2"/>
    <w:uiPriority w:val="0"/>
    <w:pPr>
      <w:tabs>
        <w:tab w:val="left" w:pos="164"/>
        <w:tab w:val="left" w:pos="720"/>
      </w:tabs>
      <w:adjustRightInd/>
      <w:spacing w:before="240" w:after="240" w:line="360" w:lineRule="atLeast"/>
      <w:ind w:left="720" w:right="260" w:hanging="720"/>
      <w:textAlignment w:val="auto"/>
    </w:pPr>
    <w:rPr>
      <w:rFonts w:eastAsia="宋体"/>
      <w:b/>
      <w:bCs/>
      <w:color w:val="000000"/>
      <w:sz w:val="30"/>
      <w:szCs w:val="30"/>
    </w:rPr>
  </w:style>
  <w:style w:type="paragraph" w:customStyle="1" w:styleId="225">
    <w:name w:val="样式8"/>
    <w:basedOn w:val="1"/>
    <w:uiPriority w:val="0"/>
    <w:pPr>
      <w:spacing w:line="360" w:lineRule="atLeast"/>
    </w:pPr>
    <w:rPr>
      <w:sz w:val="24"/>
    </w:rPr>
  </w:style>
  <w:style w:type="paragraph" w:customStyle="1" w:styleId="226">
    <w:name w:val="Body Text 21"/>
    <w:basedOn w:val="1"/>
    <w:uiPriority w:val="0"/>
    <w:pPr>
      <w:adjustRightInd w:val="0"/>
      <w:textAlignment w:val="baseline"/>
    </w:pPr>
    <w:rPr>
      <w:rFonts w:eastAsia="仿宋体"/>
      <w:sz w:val="24"/>
      <w:szCs w:val="20"/>
    </w:rPr>
  </w:style>
  <w:style w:type="paragraph" w:customStyle="1" w:styleId="227">
    <w:name w:val="xl740"/>
    <w:basedOn w:val="1"/>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Courier New" w:hAnsi="Courier New" w:eastAsia="Arial Unicode MS"/>
      <w:kern w:val="0"/>
      <w:sz w:val="24"/>
    </w:rPr>
  </w:style>
  <w:style w:type="paragraph" w:customStyle="1" w:styleId="228">
    <w:name w:val="文本"/>
    <w:basedOn w:val="1"/>
    <w:uiPriority w:val="0"/>
    <w:pPr>
      <w:tabs>
        <w:tab w:val="left" w:pos="315"/>
        <w:tab w:val="left" w:pos="432"/>
      </w:tabs>
      <w:spacing w:line="360" w:lineRule="auto"/>
      <w:ind w:left="432" w:hanging="432"/>
      <w:jc w:val="left"/>
    </w:pPr>
    <w:rPr>
      <w:rFonts w:eastAsia="楷体_GB2312"/>
      <w:sz w:val="24"/>
    </w:rPr>
  </w:style>
  <w:style w:type="paragraph" w:customStyle="1" w:styleId="229">
    <w:name w:val="表格001"/>
    <w:basedOn w:val="1"/>
    <w:uiPriority w:val="0"/>
    <w:pPr>
      <w:jc w:val="center"/>
    </w:pPr>
    <w:rPr>
      <w:szCs w:val="20"/>
    </w:rPr>
  </w:style>
  <w:style w:type="paragraph" w:customStyle="1" w:styleId="230">
    <w:name w:val="00000000000000"/>
    <w:basedOn w:val="1"/>
    <w:uiPriority w:val="0"/>
    <w:pPr>
      <w:adjustRightInd w:val="0"/>
      <w:snapToGrid w:val="0"/>
      <w:spacing w:line="360" w:lineRule="auto"/>
      <w:ind w:firstLine="480" w:firstLineChars="200"/>
    </w:pPr>
    <w:rPr>
      <w:rFonts w:ascii="宋体" w:hAnsi="宋体"/>
      <w:bCs/>
      <w:kern w:val="18"/>
      <w:sz w:val="24"/>
      <w:szCs w:val="21"/>
    </w:rPr>
  </w:style>
  <w:style w:type="paragraph" w:customStyle="1" w:styleId="231">
    <w:name w:val="1表格"/>
    <w:basedOn w:val="1"/>
    <w:uiPriority w:val="0"/>
    <w:pPr>
      <w:adjustRightInd w:val="0"/>
      <w:snapToGrid w:val="0"/>
      <w:jc w:val="center"/>
      <w:textAlignment w:val="baseline"/>
    </w:pPr>
    <w:rPr>
      <w:rFonts w:hint="eastAsia" w:ascii="宋体" w:hAnsi="宋体"/>
      <w:spacing w:val="4"/>
      <w:sz w:val="24"/>
      <w:szCs w:val="20"/>
    </w:rPr>
  </w:style>
  <w:style w:type="paragraph" w:customStyle="1" w:styleId="232">
    <w:name w:val="文本框"/>
    <w:basedOn w:val="1"/>
    <w:uiPriority w:val="0"/>
    <w:pPr>
      <w:adjustRightInd w:val="0"/>
      <w:snapToGrid w:val="0"/>
      <w:spacing w:line="300" w:lineRule="exact"/>
      <w:jc w:val="center"/>
    </w:pPr>
    <w:rPr>
      <w:sz w:val="24"/>
    </w:rPr>
  </w:style>
  <w:style w:type="paragraph" w:customStyle="1" w:styleId="233">
    <w:name w:val=" Char Char Char Char Char Char Char Char Char1 Char Char Char Char Char Char Char Char Char Char"/>
    <w:basedOn w:val="1"/>
    <w:uiPriority w:val="0"/>
    <w:rPr>
      <w:szCs w:val="21"/>
    </w:rPr>
  </w:style>
  <w:style w:type="paragraph" w:customStyle="1" w:styleId="234">
    <w:name w:val="表蕊居中"/>
    <w:basedOn w:val="1"/>
    <w:link w:val="332"/>
    <w:uiPriority w:val="0"/>
    <w:pPr>
      <w:suppressAutoHyphens/>
      <w:spacing w:line="300" w:lineRule="exact"/>
      <w:jc w:val="center"/>
    </w:pPr>
    <w:rPr>
      <w:rFonts w:eastAsia="仿宋_GB2312"/>
      <w:iCs/>
      <w:color w:val="000000"/>
      <w:sz w:val="22"/>
      <w:szCs w:val="22"/>
    </w:rPr>
  </w:style>
  <w:style w:type="paragraph" w:customStyle="1" w:styleId="235">
    <w:name w:val=" 字元"/>
    <w:basedOn w:val="1"/>
    <w:uiPriority w:val="0"/>
    <w:pPr>
      <w:adjustRightInd w:val="0"/>
      <w:spacing w:line="400" w:lineRule="exact"/>
      <w:ind w:firstLine="601"/>
      <w:textAlignment w:val="baseline"/>
    </w:pPr>
    <w:rPr>
      <w:rFonts w:eastAsia="楷体_GB2312"/>
      <w:bCs/>
      <w:spacing w:val="8"/>
      <w:kern w:val="0"/>
      <w:sz w:val="24"/>
      <w:szCs w:val="28"/>
    </w:rPr>
  </w:style>
  <w:style w:type="paragraph" w:customStyle="1" w:styleId="236">
    <w:name w:val=" Char4 Char Char Char Char Char Char Char Char Char Char Char Char Char Char Char Char Char1 Char Char Char Char Char Char1 Char"/>
    <w:basedOn w:val="1"/>
    <w:uiPriority w:val="0"/>
    <w:pPr>
      <w:spacing w:line="240" w:lineRule="exact"/>
      <w:ind w:firstLine="200" w:firstLineChars="200"/>
    </w:pPr>
    <w:rPr>
      <w:sz w:val="24"/>
      <w:szCs w:val="28"/>
    </w:rPr>
  </w:style>
  <w:style w:type="paragraph" w:customStyle="1" w:styleId="237">
    <w:name w:val="正文内容"/>
    <w:basedOn w:val="1"/>
    <w:uiPriority w:val="0"/>
    <w:pPr>
      <w:spacing w:before="156" w:beforeLines="50" w:after="156" w:afterLines="50" w:line="360" w:lineRule="auto"/>
      <w:ind w:firstLine="480" w:firstLineChars="200"/>
    </w:pPr>
    <w:rPr>
      <w:sz w:val="24"/>
      <w:szCs w:val="20"/>
    </w:rPr>
  </w:style>
  <w:style w:type="paragraph" w:customStyle="1" w:styleId="238">
    <w:name w:val="正文2"/>
    <w:basedOn w:val="1"/>
    <w:uiPriority w:val="0"/>
    <w:pPr>
      <w:adjustRightInd w:val="0"/>
      <w:snapToGrid w:val="0"/>
      <w:spacing w:line="440" w:lineRule="atLeast"/>
      <w:ind w:firstLine="567"/>
    </w:pPr>
    <w:rPr>
      <w:sz w:val="24"/>
      <w:szCs w:val="20"/>
    </w:rPr>
  </w:style>
  <w:style w:type="paragraph" w:customStyle="1" w:styleId="239">
    <w:name w:val="正式用 图表名称"/>
    <w:link w:val="333"/>
    <w:uiPriority w:val="0"/>
    <w:pPr>
      <w:tabs>
        <w:tab w:val="left" w:pos="5145"/>
        <w:tab w:val="center" w:pos="6979"/>
      </w:tabs>
      <w:spacing w:line="360" w:lineRule="auto"/>
      <w:jc w:val="center"/>
    </w:pPr>
    <w:rPr>
      <w:color w:val="000000"/>
      <w:kern w:val="2"/>
      <w:sz w:val="21"/>
      <w:szCs w:val="21"/>
      <w:lang w:val="en-US" w:eastAsia="zh-CN" w:bidi="ar-SA"/>
    </w:rPr>
  </w:style>
  <w:style w:type="paragraph" w:customStyle="1" w:styleId="240">
    <w:name w:val="文本正文"/>
    <w:basedOn w:val="1"/>
    <w:link w:val="335"/>
    <w:uiPriority w:val="0"/>
    <w:pPr>
      <w:snapToGrid w:val="0"/>
      <w:spacing w:line="360" w:lineRule="auto"/>
      <w:ind w:firstLine="510"/>
      <w:jc w:val="left"/>
    </w:pPr>
    <w:rPr>
      <w:rFonts w:ascii="宋体"/>
      <w:spacing w:val="4"/>
      <w:kern w:val="24"/>
      <w:sz w:val="24"/>
      <w:lang w:val="zh-CN"/>
    </w:rPr>
  </w:style>
  <w:style w:type="paragraph" w:customStyle="1" w:styleId="241">
    <w:name w:val=" Char Char2 Char Char Char Char Char Char2"/>
    <w:basedOn w:val="1"/>
    <w:uiPriority w:val="0"/>
    <w:pPr>
      <w:snapToGrid w:val="0"/>
      <w:spacing w:line="360" w:lineRule="auto"/>
      <w:ind w:firstLine="200" w:firstLineChars="200"/>
    </w:pPr>
    <w:rPr>
      <w:rFonts w:eastAsia="仿宋_GB2312"/>
      <w:sz w:val="24"/>
    </w:rPr>
  </w:style>
  <w:style w:type="paragraph" w:customStyle="1" w:styleId="242">
    <w:name w:val=" 字元 字元 Char Char 字元 字元 Char Char 字元 字元"/>
    <w:basedOn w:val="1"/>
    <w:uiPriority w:val="0"/>
    <w:pPr>
      <w:spacing w:line="360" w:lineRule="auto"/>
      <w:ind w:firstLine="200" w:firstLineChars="200"/>
    </w:pPr>
    <w:rPr>
      <w:rFonts w:ascii="宋体" w:hAnsi="宋体" w:cs="宋体"/>
      <w:sz w:val="24"/>
    </w:rPr>
  </w:style>
  <w:style w:type="paragraph" w:customStyle="1" w:styleId="243">
    <w:name w:val=" Char Char Char1 Char Char Char Char Char Char Char Char Char Char Char Char Char Char Char Char Char Char Char"/>
    <w:basedOn w:val="1"/>
    <w:uiPriority w:val="0"/>
    <w:pPr>
      <w:widowControl/>
      <w:jc w:val="left"/>
    </w:pPr>
    <w:rPr>
      <w:rFonts w:ascii="宋体" w:hAnsi="宋体" w:cs="宋体"/>
      <w:kern w:val="0"/>
      <w:sz w:val="24"/>
    </w:rPr>
  </w:style>
  <w:style w:type="paragraph" w:customStyle="1" w:styleId="244">
    <w:name w:val="表文字"/>
    <w:basedOn w:val="1"/>
    <w:uiPriority w:val="0"/>
    <w:pPr>
      <w:framePr w:hSpace="180" w:wrap="around" w:vAnchor="text" w:hAnchor="margin" w:y="550"/>
      <w:spacing w:line="240" w:lineRule="exact"/>
      <w:jc w:val="center"/>
    </w:pPr>
    <w:rPr>
      <w:szCs w:val="21"/>
    </w:rPr>
  </w:style>
  <w:style w:type="paragraph" w:customStyle="1" w:styleId="245">
    <w:name w:val="declear"/>
    <w:basedOn w:val="1"/>
    <w:uiPriority w:val="0"/>
    <w:pPr>
      <w:widowControl/>
      <w:spacing w:before="100" w:beforeAutospacing="1" w:after="100" w:afterAutospacing="1"/>
      <w:jc w:val="left"/>
    </w:pPr>
    <w:rPr>
      <w:rFonts w:ascii="宋体" w:hAnsi="宋体" w:cs="宋体"/>
      <w:kern w:val="0"/>
      <w:sz w:val="24"/>
    </w:rPr>
  </w:style>
  <w:style w:type="paragraph" w:customStyle="1" w:styleId="246">
    <w:name w:val="xl67"/>
    <w:basedOn w:val="1"/>
    <w:uiPriority w:val="0"/>
    <w:pPr>
      <w:widowControl/>
      <w:pBdr>
        <w:left w:val="single" w:color="auto" w:sz="4" w:space="0"/>
      </w:pBdr>
      <w:spacing w:before="100" w:beforeAutospacing="1" w:after="100" w:afterAutospacing="1"/>
      <w:jc w:val="center"/>
    </w:pPr>
    <w:rPr>
      <w:rFonts w:ascii="仿宋_GB2312" w:hAnsi="宋体" w:eastAsia="仿宋_GB2312"/>
      <w:kern w:val="0"/>
      <w:sz w:val="24"/>
      <w:szCs w:val="20"/>
    </w:rPr>
  </w:style>
  <w:style w:type="paragraph" w:customStyle="1" w:styleId="247">
    <w:name w:val="p0"/>
    <w:basedOn w:val="1"/>
    <w:uiPriority w:val="0"/>
    <w:pPr>
      <w:widowControl/>
    </w:pPr>
    <w:rPr>
      <w:kern w:val="0"/>
      <w:szCs w:val="21"/>
    </w:rPr>
  </w:style>
  <w:style w:type="paragraph" w:customStyle="1" w:styleId="248">
    <w:name w:val="正文 + 居中"/>
    <w:basedOn w:val="1"/>
    <w:uiPriority w:val="0"/>
    <w:pPr>
      <w:jc w:val="center"/>
    </w:pPr>
  </w:style>
  <w:style w:type="paragraph" w:customStyle="1" w:styleId="249">
    <w:name w:val="正文11"/>
    <w:basedOn w:val="1"/>
    <w:uiPriority w:val="0"/>
    <w:pPr>
      <w:adjustRightInd w:val="0"/>
      <w:snapToGrid w:val="0"/>
      <w:spacing w:line="360" w:lineRule="auto"/>
      <w:ind w:firstLine="539"/>
    </w:pPr>
    <w:rPr>
      <w:kern w:val="0"/>
      <w:sz w:val="24"/>
    </w:rPr>
  </w:style>
  <w:style w:type="paragraph" w:customStyle="1" w:styleId="250">
    <w:name w:val="缩进"/>
    <w:uiPriority w:val="99"/>
    <w:pPr>
      <w:autoSpaceDE w:val="0"/>
      <w:autoSpaceDN w:val="0"/>
      <w:adjustRightInd w:val="0"/>
      <w:spacing w:line="400" w:lineRule="atLeast"/>
      <w:ind w:firstLine="425"/>
    </w:pPr>
    <w:rPr>
      <w:sz w:val="24"/>
      <w:lang w:val="en-US" w:eastAsia="zh-CN" w:bidi="ar-SA"/>
    </w:rPr>
  </w:style>
  <w:style w:type="paragraph" w:customStyle="1" w:styleId="251">
    <w:name w:val="xl22"/>
    <w:basedOn w:val="1"/>
    <w:uiPriority w:val="99"/>
    <w:pPr>
      <w:widowControl/>
      <w:spacing w:before="100" w:after="100"/>
      <w:jc w:val="center"/>
    </w:pPr>
    <w:rPr>
      <w:rFonts w:ascii="仿宋_GB2312" w:hAnsi="宋体" w:eastAsia="仿宋_GB2312"/>
      <w:kern w:val="0"/>
      <w:sz w:val="24"/>
      <w:szCs w:val="20"/>
    </w:rPr>
  </w:style>
  <w:style w:type="paragraph" w:customStyle="1" w:styleId="252">
    <w:name w:val="Char Char5 Char Char"/>
    <w:basedOn w:val="1"/>
    <w:uiPriority w:val="99"/>
    <w:pPr>
      <w:spacing w:line="360" w:lineRule="auto"/>
      <w:ind w:firstLine="200" w:firstLineChars="200"/>
    </w:pPr>
    <w:rPr>
      <w:rFonts w:ascii="宋体" w:hAnsi="宋体" w:cs="宋体"/>
      <w:sz w:val="24"/>
      <w:szCs w:val="20"/>
    </w:rPr>
  </w:style>
  <w:style w:type="paragraph" w:customStyle="1" w:styleId="253">
    <w:name w:val="样式 列表 + 左侧:  0 厘米 悬挂缩进: 2 字符"/>
    <w:basedOn w:val="41"/>
    <w:uiPriority w:val="99"/>
    <w:pPr>
      <w:tabs>
        <w:tab w:val="center" w:pos="4153"/>
        <w:tab w:val="right" w:pos="8306"/>
      </w:tabs>
      <w:snapToGrid/>
      <w:spacing w:line="240" w:lineRule="exact"/>
      <w:jc w:val="both"/>
    </w:pPr>
    <w:rPr>
      <w:rFonts w:ascii="仿宋_GB2312" w:eastAsia="仿宋_GB2312" w:cs="宋体"/>
      <w:szCs w:val="21"/>
    </w:rPr>
  </w:style>
  <w:style w:type="paragraph" w:customStyle="1" w:styleId="254">
    <w:name w:val="正文段落"/>
    <w:basedOn w:val="1"/>
    <w:uiPriority w:val="99"/>
    <w:pPr>
      <w:spacing w:beforeLines="50" w:line="360" w:lineRule="auto"/>
      <w:ind w:firstLine="480" w:firstLineChars="200"/>
    </w:pPr>
    <w:rPr>
      <w:rFonts w:cs="宋体"/>
      <w:sz w:val="24"/>
      <w:szCs w:val="21"/>
    </w:rPr>
  </w:style>
  <w:style w:type="paragraph" w:customStyle="1" w:styleId="255">
    <w:name w:val="报告"/>
    <w:basedOn w:val="1"/>
    <w:uiPriority w:val="99"/>
    <w:pPr>
      <w:adjustRightInd w:val="0"/>
      <w:spacing w:line="360" w:lineRule="auto"/>
      <w:ind w:firstLine="505"/>
    </w:pPr>
    <w:rPr>
      <w:kern w:val="0"/>
      <w:sz w:val="24"/>
      <w:szCs w:val="20"/>
    </w:rPr>
  </w:style>
  <w:style w:type="paragraph" w:customStyle="1" w:styleId="256">
    <w:name w:val="正文文本缩进1"/>
    <w:basedOn w:val="1"/>
    <w:uiPriority w:val="99"/>
    <w:pPr>
      <w:spacing w:line="360" w:lineRule="auto"/>
      <w:ind w:firstLine="480" w:firstLineChars="200"/>
    </w:pPr>
    <w:rPr>
      <w:rFonts w:eastAsia="华文中宋"/>
      <w:sz w:val="24"/>
      <w:szCs w:val="20"/>
    </w:rPr>
  </w:style>
  <w:style w:type="paragraph" w:customStyle="1" w:styleId="257">
    <w:name w:val="样式 标题 1 + (中文) 宋体 小三 行距: 多倍行距 1.35 字行"/>
    <w:basedOn w:val="2"/>
    <w:uiPriority w:val="99"/>
    <w:pPr>
      <w:numPr>
        <w:ilvl w:val="0"/>
        <w:numId w:val="10"/>
      </w:numPr>
      <w:tabs>
        <w:tab w:val="left" w:pos="432"/>
        <w:tab w:val="left" w:pos="1200"/>
      </w:tabs>
      <w:adjustRightInd/>
      <w:snapToGrid w:val="0"/>
      <w:spacing w:before="0" w:after="0" w:line="360" w:lineRule="auto"/>
      <w:textAlignment w:val="auto"/>
    </w:pPr>
    <w:rPr>
      <w:rFonts w:ascii="宋体" w:hAnsi="宋体" w:eastAsia="宋体"/>
      <w:b/>
      <w:bCs/>
      <w:color w:val="auto"/>
      <w:sz w:val="32"/>
      <w:szCs w:val="32"/>
    </w:rPr>
  </w:style>
  <w:style w:type="paragraph" w:customStyle="1" w:styleId="258">
    <w:name w:val="样式 标题 4 + (西文) Times New Roman (中文) 宋体 小四"/>
    <w:basedOn w:val="5"/>
    <w:uiPriority w:val="0"/>
    <w:pPr>
      <w:numPr>
        <w:ilvl w:val="3"/>
        <w:numId w:val="10"/>
      </w:numPr>
      <w:tabs>
        <w:tab w:val="left" w:pos="1247"/>
        <w:tab w:val="left" w:pos="2160"/>
      </w:tabs>
      <w:adjustRightInd w:val="0"/>
      <w:snapToGrid w:val="0"/>
      <w:spacing w:before="0" w:after="0" w:line="480" w:lineRule="exact"/>
    </w:pPr>
    <w:rPr>
      <w:rFonts w:ascii="宋体" w:hAnsi="宋体" w:eastAsia="宋体"/>
      <w:bCs w:val="0"/>
      <w:kern w:val="0"/>
      <w:sz w:val="24"/>
      <w:szCs w:val="24"/>
    </w:rPr>
  </w:style>
  <w:style w:type="paragraph" w:customStyle="1" w:styleId="259">
    <w:name w:val="Char Char Char Char1 Char Char Char Char Char Char Char"/>
    <w:basedOn w:val="1"/>
    <w:uiPriority w:val="99"/>
    <w:pPr>
      <w:numPr>
        <w:ilvl w:val="0"/>
        <w:numId w:val="11"/>
      </w:numPr>
      <w:tabs>
        <w:tab w:val="left" w:pos="360"/>
        <w:tab w:val="left" w:pos="420"/>
      </w:tabs>
      <w:snapToGrid w:val="0"/>
      <w:spacing w:line="360" w:lineRule="auto"/>
      <w:ind w:left="0" w:firstLine="0"/>
    </w:pPr>
    <w:rPr>
      <w:rFonts w:eastAsia="仿宋_GB2312" w:cs="宋体"/>
      <w:sz w:val="24"/>
    </w:rPr>
  </w:style>
  <w:style w:type="paragraph" w:customStyle="1" w:styleId="260">
    <w:name w:val="表中文字"/>
    <w:basedOn w:val="1"/>
    <w:link w:val="341"/>
    <w:uiPriority w:val="0"/>
    <w:pPr>
      <w:snapToGrid w:val="0"/>
    </w:pPr>
    <w:rPr>
      <w:szCs w:val="20"/>
    </w:rPr>
  </w:style>
  <w:style w:type="paragraph" w:customStyle="1" w:styleId="261">
    <w:name w:val="报告书正文"/>
    <w:basedOn w:val="1"/>
    <w:uiPriority w:val="99"/>
    <w:pPr>
      <w:adjustRightInd w:val="0"/>
      <w:snapToGrid w:val="0"/>
      <w:spacing w:line="360" w:lineRule="auto"/>
      <w:ind w:firstLine="425"/>
    </w:pPr>
    <w:rPr>
      <w:rFonts w:ascii="Arial" w:hAnsi="Arial"/>
      <w:kern w:val="0"/>
      <w:sz w:val="24"/>
      <w:szCs w:val="20"/>
    </w:rPr>
  </w:style>
  <w:style w:type="character" w:customStyle="1" w:styleId="262">
    <w:name w:val="正文B Char"/>
    <w:link w:val="66"/>
    <w:uiPriority w:val="0"/>
    <w:rPr>
      <w:rFonts w:eastAsia="楷体_GB2312"/>
      <w:spacing w:val="8"/>
      <w:sz w:val="28"/>
      <w:lang w:val="en-US" w:eastAsia="zh-CN" w:bidi="ar-SA"/>
    </w:rPr>
  </w:style>
  <w:style w:type="character" w:customStyle="1" w:styleId="263">
    <w:name w:val="表头 Char"/>
    <w:link w:val="68"/>
    <w:uiPriority w:val="0"/>
    <w:rPr>
      <w:rFonts w:eastAsia="黑体"/>
      <w:spacing w:val="-10"/>
      <w:sz w:val="21"/>
      <w:szCs w:val="11"/>
      <w:lang w:val="en-US" w:eastAsia="zh-CN" w:bidi="ar-SA"/>
    </w:rPr>
  </w:style>
  <w:style w:type="character" w:customStyle="1" w:styleId="264">
    <w:name w:val="title"/>
    <w:basedOn w:val="52"/>
    <w:uiPriority w:val="0"/>
  </w:style>
  <w:style w:type="character" w:customStyle="1" w:styleId="265">
    <w:name w:val="表蕊 Char1"/>
    <w:link w:val="69"/>
    <w:uiPriority w:val="0"/>
    <w:rPr>
      <w:rFonts w:eastAsia="楷体_GB2312"/>
      <w:spacing w:val="-10"/>
      <w:sz w:val="21"/>
      <w:lang w:val="en-US" w:eastAsia="zh-CN" w:bidi="ar-SA"/>
    </w:rPr>
  </w:style>
  <w:style w:type="character" w:customStyle="1" w:styleId="266">
    <w:name w:val="正文缩进 Char1"/>
    <w:aliases w:val="正文（首行缩进两字） Char1,表格标题 Char,文本条款 Char,正文（首行缩进两字） Char Char Char Char Char Char Char Char,正文（首行缩进两字） Char Char,特点 Char,表正文 Char,正文非缩进 Char,段1 Char,正文不缩进 Char,标题4 Char Char,标题4 Char Char Char Char,标题4 Char1,正文缩进 Char Char,s4 Char,正文缩进2 Char,正"/>
    <w:link w:val="19"/>
    <w:uiPriority w:val="0"/>
    <w:rPr>
      <w:rFonts w:eastAsia="宋体"/>
      <w:kern w:val="2"/>
      <w:sz w:val="21"/>
      <w:szCs w:val="24"/>
      <w:lang w:val="en-US" w:eastAsia="zh-CN" w:bidi="ar-SA"/>
    </w:rPr>
  </w:style>
  <w:style w:type="character" w:customStyle="1" w:styleId="267">
    <w:name w:val="表格内文字 Char"/>
    <w:link w:val="72"/>
    <w:uiPriority w:val="0"/>
    <w:rPr>
      <w:rFonts w:eastAsia="宋体"/>
      <w:spacing w:val="10"/>
      <w:kern w:val="2"/>
      <w:sz w:val="24"/>
      <w:lang w:val="en-US" w:eastAsia="zh-CN" w:bidi="ar-SA"/>
    </w:rPr>
  </w:style>
  <w:style w:type="character" w:customStyle="1" w:styleId="268">
    <w:name w:val="注释 Char"/>
    <w:link w:val="73"/>
    <w:uiPriority w:val="0"/>
    <w:rPr>
      <w:rFonts w:ascii="宋体" w:eastAsia="仿宋_GB2312"/>
      <w:snapToGrid w:val="0"/>
      <w:spacing w:val="-4"/>
      <w:sz w:val="24"/>
      <w:szCs w:val="24"/>
      <w:lang w:val="en-US" w:eastAsia="zh-CN" w:bidi="ar-SA"/>
    </w:rPr>
  </w:style>
  <w:style w:type="character" w:customStyle="1" w:styleId="269">
    <w:name w:val="表格标题新 Char"/>
    <w:link w:val="74"/>
    <w:uiPriority w:val="0"/>
    <w:rPr>
      <w:rFonts w:ascii="仿宋_GB2312" w:eastAsia="黑体"/>
      <w:b/>
      <w:snapToGrid w:val="0"/>
      <w:spacing w:val="4"/>
      <w:kern w:val="2"/>
      <w:sz w:val="24"/>
      <w:szCs w:val="24"/>
      <w:lang w:val="en-US" w:eastAsia="zh-CN" w:bidi="ar-SA"/>
    </w:rPr>
  </w:style>
  <w:style w:type="character" w:customStyle="1" w:styleId="270">
    <w:name w:val="wenzi-lan1"/>
    <w:uiPriority w:val="0"/>
    <w:rPr>
      <w:b/>
      <w:bCs/>
      <w:color w:val="014364"/>
    </w:rPr>
  </w:style>
  <w:style w:type="character" w:customStyle="1" w:styleId="271">
    <w:name w:val="标题 1 Char1"/>
    <w:aliases w:val="-*+ Char,章标题 1 Char,1.标题 1 Char,h1 Char,1st level Char,Section Head Char,l1 Char,b1 Char,H1 Char,Header1 Char,Heading 0 Char,Fab-1 Char,PIM 1 Char,标书1 Char,章节 Char,章名 Char,1.1标题 1 Char,一、 Char,标题 1 Char Char,Heading 11 Char,H11 Char,H12 Char"/>
    <w:link w:val="2"/>
    <w:uiPriority w:val="0"/>
    <w:rPr>
      <w:rFonts w:eastAsia="黑体"/>
      <w:color w:val="0000FF"/>
      <w:kern w:val="44"/>
      <w:sz w:val="44"/>
      <w:lang w:val="en-US" w:eastAsia="zh-CN" w:bidi="ar-SA"/>
    </w:rPr>
  </w:style>
  <w:style w:type="character" w:customStyle="1" w:styleId="272">
    <w:name w:val="标题 2 Char"/>
    <w:aliases w:val="节标题 1.1 Char,节 Char,H2 Char,（一） Char,Underrubrik1 Char,prop2 Char,Heading 2 Hidden Char,Heading 2 CCBS Char,UNDERRUBRIK 1-2 Char,2nd level Char,h2 Char,2 Char,Header 2 Char,l2 Char,Titre2 Char,Head 2 Char,Fab-2 Char,PIM2 Char,heading 2 Char"/>
    <w:link w:val="3"/>
    <w:uiPriority w:val="0"/>
    <w:rPr>
      <w:rFonts w:ascii="黑体" w:hAnsi="Arial" w:eastAsia="黑体"/>
      <w:kern w:val="2"/>
      <w:sz w:val="32"/>
      <w:szCs w:val="32"/>
      <w:lang w:val="en-US" w:eastAsia="zh-CN" w:bidi="ar-SA"/>
    </w:rPr>
  </w:style>
  <w:style w:type="character" w:customStyle="1" w:styleId="273">
    <w:name w:val="标题 3 Char1"/>
    <w:aliases w:val="条标题1.1.1 Char,h3 Char,H3 Char1,level_3 Char,PIM 3 Char,Level 3 Head Char,Heading 3 - old Char,sect1.2.3 Char,sect1.2.31 Char,sect1.2.32 Char,sect1.2.311 Char,sect1.2.33 Char,sect1.2.312 Char,Bold Head Char,bh Char,3rd level Char,3 Char,头 Char"/>
    <w:link w:val="4"/>
    <w:uiPriority w:val="0"/>
    <w:rPr>
      <w:rFonts w:eastAsia="宋体"/>
      <w:b/>
      <w:bCs/>
      <w:kern w:val="2"/>
      <w:sz w:val="32"/>
      <w:szCs w:val="32"/>
      <w:lang w:val="en-US" w:eastAsia="zh-CN" w:bidi="ar-SA"/>
    </w:rPr>
  </w:style>
  <w:style w:type="character" w:customStyle="1" w:styleId="274">
    <w:name w:val="纯文本 Char"/>
    <w:aliases w:val="Plain Text Char1 Char,Plain Text Char Char Char1,Plain Text Char Char1,Plain Text Char2 Char Char,Plain Text Char Char Char Char,Plain Text Char1 Char Char Char,Plain Text Char2 Char1,普通文字 Char,body text Char,Body Text x Char,标题2 Char1,纯文本1 Char1"/>
    <w:link w:val="30"/>
    <w:uiPriority w:val="99"/>
    <w:rPr>
      <w:rFonts w:ascii="宋体" w:hAnsi="Courier New" w:eastAsia="宋体"/>
      <w:bCs/>
      <w:kern w:val="2"/>
      <w:sz w:val="28"/>
      <w:szCs w:val="21"/>
      <w:lang w:val="en-US" w:eastAsia="zh-CN" w:bidi="ar-SA"/>
    </w:rPr>
  </w:style>
  <w:style w:type="character" w:customStyle="1" w:styleId="275">
    <w:name w:val=" Char Char1"/>
    <w:uiPriority w:val="0"/>
    <w:rPr>
      <w:rFonts w:eastAsia="宋体"/>
      <w:b/>
      <w:bCs/>
      <w:kern w:val="44"/>
      <w:sz w:val="32"/>
      <w:szCs w:val="44"/>
      <w:lang w:val="en-US" w:eastAsia="zh-CN" w:bidi="ar-SA"/>
    </w:rPr>
  </w:style>
  <w:style w:type="character" w:customStyle="1" w:styleId="276">
    <w:name w:val="普通文字 Char Char"/>
    <w:uiPriority w:val="0"/>
    <w:rPr>
      <w:rFonts w:ascii="宋体" w:hAnsi="Courier New" w:eastAsia="宋体"/>
      <w:kern w:val="2"/>
      <w:sz w:val="21"/>
      <w:lang w:val="en-US" w:eastAsia="zh-CN" w:bidi="ar-SA"/>
    </w:rPr>
  </w:style>
  <w:style w:type="character" w:customStyle="1" w:styleId="277">
    <w:name w:val="正文文本 Char"/>
    <w:aliases w:val="在编文字 Char,正文文字 Char Char,bt Char"/>
    <w:link w:val="16"/>
    <w:uiPriority w:val="0"/>
    <w:rPr>
      <w:rFonts w:ascii="宋体"/>
      <w:kern w:val="2"/>
      <w:sz w:val="24"/>
    </w:rPr>
  </w:style>
  <w:style w:type="character" w:customStyle="1" w:styleId="278">
    <w:name w:val="正文首行缩进 Char"/>
    <w:basedOn w:val="277"/>
    <w:link w:val="15"/>
    <w:uiPriority w:val="99"/>
  </w:style>
  <w:style w:type="character" w:customStyle="1" w:styleId="279">
    <w:name w:val="副标题 Char"/>
    <w:link w:val="40"/>
    <w:uiPriority w:val="0"/>
    <w:rPr>
      <w:rFonts w:ascii="Cambria" w:hAnsi="Cambria" w:cs="Times New Roman"/>
      <w:b/>
      <w:bCs/>
      <w:kern w:val="28"/>
      <w:sz w:val="32"/>
      <w:szCs w:val="32"/>
    </w:rPr>
  </w:style>
  <w:style w:type="character" w:customStyle="1" w:styleId="280">
    <w:name w:val="日期 Char"/>
    <w:link w:val="32"/>
    <w:uiPriority w:val="0"/>
    <w:rPr>
      <w:kern w:val="2"/>
      <w:sz w:val="21"/>
      <w:szCs w:val="24"/>
    </w:rPr>
  </w:style>
  <w:style w:type="character" w:customStyle="1" w:styleId="281">
    <w:name w:val="正文文本缩进 3 Char"/>
    <w:aliases w:val="正文文字缩进 3 Char"/>
    <w:link w:val="43"/>
    <w:uiPriority w:val="99"/>
    <w:rPr>
      <w:kern w:val="2"/>
      <w:sz w:val="16"/>
      <w:szCs w:val="16"/>
    </w:rPr>
  </w:style>
  <w:style w:type="character" w:customStyle="1" w:styleId="282">
    <w:name w:val="正文(首行缩进) Char"/>
    <w:link w:val="91"/>
    <w:uiPriority w:val="0"/>
    <w:rPr>
      <w:snapToGrid w:val="0"/>
      <w:sz w:val="24"/>
      <w:szCs w:val="24"/>
    </w:rPr>
  </w:style>
  <w:style w:type="character" w:customStyle="1" w:styleId="283">
    <w:name w:val="表格文字 Char Char"/>
    <w:link w:val="70"/>
    <w:uiPriority w:val="0"/>
    <w:rPr>
      <w:rFonts w:ascii="仿宋_GB2312" w:hAnsi="Arial Black" w:eastAsia="仿宋_GB2312"/>
      <w:kern w:val="44"/>
      <w:sz w:val="24"/>
    </w:rPr>
  </w:style>
  <w:style w:type="character" w:customStyle="1" w:styleId="284">
    <w:name w:val="页眉 Char"/>
    <w:aliases w:val="页眉zxl Char1,页眉1 Char1,页眉2 Char1,页眉2 Char Char1,g Char,页眉2 Char Char Char"/>
    <w:link w:val="37"/>
    <w:uiPriority w:val="99"/>
    <w:rPr>
      <w:kern w:val="2"/>
      <w:sz w:val="18"/>
      <w:szCs w:val="18"/>
    </w:rPr>
  </w:style>
  <w:style w:type="character" w:customStyle="1" w:styleId="285">
    <w:name w:val="批注文字 Char"/>
    <w:link w:val="13"/>
    <w:semiHidden/>
    <w:uiPriority w:val="0"/>
    <w:rPr>
      <w:kern w:val="2"/>
      <w:sz w:val="21"/>
      <w:szCs w:val="24"/>
    </w:rPr>
  </w:style>
  <w:style w:type="character" w:customStyle="1" w:styleId="286">
    <w:name w:val="标题 6 Char"/>
    <w:link w:val="7"/>
    <w:uiPriority w:val="0"/>
    <w:rPr>
      <w:kern w:val="2"/>
      <w:sz w:val="28"/>
    </w:rPr>
  </w:style>
  <w:style w:type="character" w:customStyle="1" w:styleId="287">
    <w:name w:val="标题 7 Char"/>
    <w:link w:val="8"/>
    <w:uiPriority w:val="0"/>
    <w:rPr>
      <w:kern w:val="2"/>
      <w:sz w:val="28"/>
    </w:rPr>
  </w:style>
  <w:style w:type="character" w:customStyle="1" w:styleId="288">
    <w:name w:val="标题 8 Char"/>
    <w:link w:val="9"/>
    <w:uiPriority w:val="0"/>
    <w:rPr>
      <w:kern w:val="2"/>
      <w:sz w:val="28"/>
    </w:rPr>
  </w:style>
  <w:style w:type="character" w:customStyle="1" w:styleId="289">
    <w:name w:val="标题 9 Char"/>
    <w:link w:val="10"/>
    <w:uiPriority w:val="0"/>
    <w:rPr>
      <w:rFonts w:ascii="Arial" w:hAnsi="Arial" w:eastAsia="黑体"/>
      <w:kern w:val="2"/>
      <w:sz w:val="28"/>
    </w:rPr>
  </w:style>
  <w:style w:type="character" w:customStyle="1" w:styleId="290">
    <w:name w:val="标题 4 Char1"/>
    <w:aliases w:val="标题 4 Char Char"/>
    <w:link w:val="5"/>
    <w:locked/>
    <w:uiPriority w:val="0"/>
    <w:rPr>
      <w:rFonts w:ascii="Arial" w:hAnsi="Arial" w:eastAsia="黑体"/>
      <w:b/>
      <w:bCs/>
      <w:kern w:val="2"/>
      <w:sz w:val="28"/>
      <w:szCs w:val="28"/>
    </w:rPr>
  </w:style>
  <w:style w:type="character" w:customStyle="1" w:styleId="291">
    <w:name w:val="页脚 Char"/>
    <w:aliases w:val="Footer1 Char"/>
    <w:link w:val="35"/>
    <w:uiPriority w:val="99"/>
    <w:rPr>
      <w:kern w:val="2"/>
      <w:sz w:val="18"/>
    </w:rPr>
  </w:style>
  <w:style w:type="character" w:customStyle="1" w:styleId="292">
    <w:name w:val="表格文字 Char1"/>
    <w:uiPriority w:val="0"/>
    <w:rPr>
      <w:rFonts w:ascii="仿宋_GB2312" w:hAnsi="Arial Black" w:eastAsia="仿宋_GB2312"/>
      <w:kern w:val="44"/>
      <w:sz w:val="24"/>
    </w:rPr>
  </w:style>
  <w:style w:type="character" w:customStyle="1" w:styleId="293">
    <w:name w:val="正文文本缩进 2 Char"/>
    <w:aliases w:val="正文文字缩进 2 Char,正文缩进 2 Char,题注1 Char"/>
    <w:link w:val="33"/>
    <w:uiPriority w:val="99"/>
    <w:rPr>
      <w:kern w:val="2"/>
      <w:sz w:val="21"/>
      <w:szCs w:val="24"/>
    </w:rPr>
  </w:style>
  <w:style w:type="character" w:customStyle="1" w:styleId="294">
    <w:name w:val="indetail1"/>
    <w:uiPriority w:val="0"/>
    <w:rPr>
      <w:sz w:val="18"/>
      <w:szCs w:val="18"/>
      <w:bdr w:val="single" w:color="E2E2E2" w:sz="6" w:space="0"/>
    </w:rPr>
  </w:style>
  <w:style w:type="character" w:customStyle="1" w:styleId="295">
    <w:name w:val="14fz1"/>
    <w:uiPriority w:val="0"/>
    <w:rPr>
      <w:rFonts w:hint="default" w:ascii="_x000B__x000C_" w:hAnsi="_x000B__x000C_"/>
      <w:color w:val="000000"/>
      <w:sz w:val="32"/>
      <w:szCs w:val="32"/>
    </w:rPr>
  </w:style>
  <w:style w:type="character" w:customStyle="1" w:styleId="296">
    <w:name w:val="页眉zxl Char"/>
    <w:aliases w:val="页眉1 Char,页眉2 Char Char"/>
    <w:uiPriority w:val="0"/>
    <w:rPr>
      <w:rFonts w:ascii="隶书" w:eastAsia="隶书"/>
      <w:kern w:val="2"/>
      <w:sz w:val="24"/>
      <w:szCs w:val="24"/>
      <w:lang w:val="en-US" w:eastAsia="zh-CN" w:bidi="ar-SA"/>
    </w:rPr>
  </w:style>
  <w:style w:type="character" w:customStyle="1" w:styleId="297">
    <w:name w:val="表格 Char"/>
    <w:link w:val="129"/>
    <w:uiPriority w:val="0"/>
    <w:rPr>
      <w:rFonts w:ascii="宋体"/>
      <w:b/>
      <w:sz w:val="21"/>
    </w:rPr>
  </w:style>
  <w:style w:type="character" w:customStyle="1" w:styleId="298">
    <w:name w:val="表标题 Char"/>
    <w:link w:val="140"/>
    <w:locked/>
    <w:uiPriority w:val="0"/>
    <w:rPr>
      <w:rFonts w:ascii="Arial Narrow" w:hAnsi="Arial Narrow" w:eastAsia="仿宋_GB2312"/>
      <w:b/>
      <w:bCs/>
      <w:spacing w:val="-4"/>
      <w:sz w:val="24"/>
      <w:szCs w:val="24"/>
      <w:lang w:bidi="ar-SA"/>
    </w:rPr>
  </w:style>
  <w:style w:type="character" w:customStyle="1" w:styleId="299">
    <w:name w:val="标题 4 Char"/>
    <w:uiPriority w:val="9"/>
    <w:rPr>
      <w:rFonts w:ascii="Arial Narrow" w:hAnsi="Arial Narrow" w:eastAsia="仿宋_GB2312"/>
      <w:bCs/>
      <w:kern w:val="2"/>
      <w:sz w:val="24"/>
      <w:szCs w:val="24"/>
      <w:lang w:val="en-US" w:eastAsia="zh-CN" w:bidi="ar-SA"/>
    </w:rPr>
  </w:style>
  <w:style w:type="character" w:customStyle="1" w:styleId="300">
    <w:name w:val="h31"/>
    <w:uiPriority w:val="0"/>
    <w:rPr>
      <w:rFonts w:cs="Times New Roman"/>
      <w:sz w:val="21"/>
      <w:szCs w:val="21"/>
    </w:rPr>
  </w:style>
  <w:style w:type="character" w:customStyle="1" w:styleId="301">
    <w:name w:val="样式 楷体_GB2312 小四 居中 行距: 单倍行距 Char"/>
    <w:link w:val="162"/>
    <w:uiPriority w:val="0"/>
    <w:rPr>
      <w:rFonts w:eastAsia="楷体_GB2312" w:cs="宋体"/>
      <w:kern w:val="2"/>
      <w:sz w:val="24"/>
      <w:szCs w:val="24"/>
    </w:rPr>
  </w:style>
  <w:style w:type="character" w:customStyle="1" w:styleId="302">
    <w:name w:val="apple-style-span"/>
    <w:uiPriority w:val="0"/>
  </w:style>
  <w:style w:type="character" w:customStyle="1" w:styleId="303">
    <w:name w:val=" Char Char2"/>
    <w:uiPriority w:val="0"/>
    <w:rPr>
      <w:rFonts w:ascii="仿宋_GB2312" w:hAnsi="宋体" w:eastAsia="宋体"/>
      <w:kern w:val="2"/>
      <w:sz w:val="18"/>
      <w:lang w:val="en-US" w:eastAsia="zh-CN" w:bidi="ar-SA"/>
    </w:rPr>
  </w:style>
  <w:style w:type="character" w:customStyle="1" w:styleId="304">
    <w:name w:val="表格内容 Char"/>
    <w:link w:val="168"/>
    <w:uiPriority w:val="0"/>
    <w:rPr>
      <w:rFonts w:eastAsia="楷体_GB2312"/>
      <w:color w:val="000000"/>
      <w:spacing w:val="8"/>
      <w:sz w:val="28"/>
      <w:szCs w:val="24"/>
    </w:rPr>
  </w:style>
  <w:style w:type="character" w:customStyle="1" w:styleId="305">
    <w:name w:val="正文文本缩进 Char"/>
    <w:aliases w:val="正文文字缩进 Char"/>
    <w:link w:val="23"/>
    <w:uiPriority w:val="99"/>
    <w:rPr>
      <w:rFonts w:ascii="仿宋_GB2312" w:eastAsia="仿宋_GB2312"/>
      <w:color w:val="FF0000"/>
      <w:kern w:val="2"/>
      <w:sz w:val="24"/>
      <w:szCs w:val="24"/>
    </w:rPr>
  </w:style>
  <w:style w:type="character" w:customStyle="1" w:styleId="306">
    <w:name w:val="正文首行缩进 2 Char"/>
    <w:link w:val="36"/>
    <w:uiPriority w:val="99"/>
    <w:rPr>
      <w:rFonts w:ascii="仿宋_GB2312" w:eastAsia="仿宋_GB2312"/>
      <w:color w:val="FF0000"/>
      <w:kern w:val="2"/>
      <w:sz w:val="28"/>
      <w:szCs w:val="24"/>
    </w:rPr>
  </w:style>
  <w:style w:type="character" w:customStyle="1" w:styleId="307">
    <w:name w:val="正文文本 3 Char"/>
    <w:aliases w:val="正文文字 3 Char"/>
    <w:link w:val="22"/>
    <w:uiPriority w:val="0"/>
    <w:rPr>
      <w:kern w:val="2"/>
      <w:sz w:val="16"/>
      <w:szCs w:val="16"/>
    </w:rPr>
  </w:style>
  <w:style w:type="character" w:customStyle="1" w:styleId="308">
    <w:name w:val="apple-converted-space"/>
    <w:uiPriority w:val="0"/>
  </w:style>
  <w:style w:type="character" w:customStyle="1" w:styleId="309">
    <w:name w:val="纯文本 Char1"/>
    <w:aliases w:val="纯文本 Char Char Char Char,纯文本 Char Char Char1,纯文本 Char Char Char Char Char Char Char Char Char,纯文本 Char Char Char Char Char Char Char Char Char Char Char Char Char Char,纯文本 Char Char1,纯文本1 Char,纯文本 Ch Char,普通文 Char"/>
    <w:uiPriority w:val="0"/>
    <w:rPr>
      <w:rFonts w:ascii="宋体" w:hAnsi="Courier New"/>
      <w:kern w:val="2"/>
      <w:sz w:val="21"/>
    </w:rPr>
  </w:style>
  <w:style w:type="character" w:customStyle="1" w:styleId="310">
    <w:name w:val="chen表头1 Char"/>
    <w:link w:val="175"/>
    <w:uiPriority w:val="0"/>
    <w:rPr>
      <w:rFonts w:eastAsia="楷体_GB2312" w:cs="宋体"/>
      <w:b/>
      <w:sz w:val="24"/>
    </w:rPr>
  </w:style>
  <w:style w:type="character" w:customStyle="1" w:styleId="311">
    <w:name w:val="报告表格 Char"/>
    <w:link w:val="176"/>
    <w:uiPriority w:val="0"/>
    <w:rPr>
      <w:sz w:val="21"/>
      <w:szCs w:val="21"/>
    </w:rPr>
  </w:style>
  <w:style w:type="character" w:customStyle="1" w:styleId="312">
    <w:name w:val="表格文字 Char"/>
    <w:aliases w:val="纯文本 Char Char Char Char Char,普通文字 Char1,普通文字 Char Char Char Char1,普通文字 Char Char Char Char Char Char Char Char Char,普通文字 Char Char Char Char Char Char Char Char1,表内文字 Char,文字缩进 Char"/>
    <w:uiPriority w:val="0"/>
    <w:rPr>
      <w:rFonts w:ascii="仿宋_GB2312" w:hAnsi="Arial Black" w:eastAsia="仿宋_GB2312"/>
      <w:kern w:val="44"/>
      <w:sz w:val="24"/>
    </w:rPr>
  </w:style>
  <w:style w:type="character" w:customStyle="1" w:styleId="313">
    <w:name w:val="正文文本 2 Char"/>
    <w:link w:val="46"/>
    <w:uiPriority w:val="0"/>
    <w:rPr>
      <w:kern w:val="2"/>
      <w:sz w:val="21"/>
      <w:szCs w:val="24"/>
    </w:rPr>
  </w:style>
  <w:style w:type="character" w:customStyle="1" w:styleId="314">
    <w:name w:val="正文缩进4"/>
    <w:aliases w:val="正文（首行缩进两字）3,正文（首行缩进两字） Char4,正文（首行缩进两字） Char Char Char Char Char4,正文（首行缩进两字） Char Char Char Char Char Char Char4,正文（首行缩进两字） Char Char6,正文（首行缩进两字） Char C3,表格标题 Char Char Char Char Char Char,正文（首行缩进两字） Char Char1 Char Char,正文（首行缩进两字） Char41,文本条款 Cha"/>
    <w:uiPriority w:val="0"/>
    <w:rPr>
      <w:rFonts w:ascii="仿宋_GB2312" w:eastAsia="仿宋_GB2312"/>
      <w:kern w:val="2"/>
      <w:sz w:val="28"/>
      <w:szCs w:val="24"/>
      <w:lang w:val="en-US" w:eastAsia="zh-CN" w:bidi="ar-SA"/>
    </w:rPr>
  </w:style>
  <w:style w:type="character" w:customStyle="1" w:styleId="315">
    <w:name w:val="正文（首行缩进两字） Char Char Char"/>
    <w:aliases w:val="正文（首行缩进两字） Char Char Char Char Char Char Char Char Char Char Char Char Char"/>
    <w:uiPriority w:val="0"/>
    <w:rPr>
      <w:rFonts w:ascii="仿宋_GB2312" w:eastAsia="仿宋_GB2312"/>
      <w:color w:val="000000"/>
      <w:kern w:val="2"/>
      <w:sz w:val="28"/>
      <w:szCs w:val="24"/>
      <w:lang w:val="en-US" w:eastAsia="zh-CN" w:bidi="ar-SA"/>
    </w:rPr>
  </w:style>
  <w:style w:type="character" w:customStyle="1" w:styleId="316">
    <w:name w:val="标题 Char"/>
    <w:link w:val="51"/>
    <w:uiPriority w:val="0"/>
    <w:rPr>
      <w:rFonts w:hAnsi="Arial"/>
      <w:b/>
      <w:bCs/>
      <w:kern w:val="2"/>
      <w:sz w:val="32"/>
      <w:szCs w:val="32"/>
    </w:rPr>
  </w:style>
  <w:style w:type="character" w:customStyle="1" w:styleId="317">
    <w:name w:val="z-窗体底端 Char"/>
    <w:link w:val="190"/>
    <w:uiPriority w:val="0"/>
    <w:rPr>
      <w:rFonts w:ascii="Arial" w:hAnsi="Arial"/>
      <w:vanish/>
      <w:kern w:val="2"/>
      <w:sz w:val="16"/>
      <w:szCs w:val="16"/>
    </w:rPr>
  </w:style>
  <w:style w:type="character" w:customStyle="1" w:styleId="318">
    <w:name w:val="z-窗体顶端 Char"/>
    <w:link w:val="191"/>
    <w:uiPriority w:val="0"/>
    <w:rPr>
      <w:rFonts w:ascii="Arial" w:hAnsi="Arial"/>
      <w:vanish/>
      <w:kern w:val="2"/>
      <w:sz w:val="16"/>
      <w:szCs w:val="16"/>
    </w:rPr>
  </w:style>
  <w:style w:type="character" w:customStyle="1" w:styleId="319">
    <w:name w:val="正文（首行缩进两字） Char Char Char Char Char Char Char1"/>
    <w:uiPriority w:val="0"/>
    <w:rPr>
      <w:rFonts w:ascii="仿宋_GB2312" w:eastAsia="仿宋_GB2312"/>
      <w:color w:val="000000"/>
      <w:kern w:val="2"/>
      <w:sz w:val="28"/>
      <w:szCs w:val="24"/>
      <w:lang w:val="en-US" w:eastAsia="zh-CN" w:bidi="ar-SA"/>
    </w:rPr>
  </w:style>
  <w:style w:type="character" w:customStyle="1" w:styleId="320">
    <w:name w:val="style21"/>
    <w:uiPriority w:val="0"/>
    <w:rPr>
      <w:sz w:val="27"/>
      <w:szCs w:val="27"/>
    </w:rPr>
  </w:style>
  <w:style w:type="character" w:customStyle="1" w:styleId="321">
    <w:name w:val="HTML 预设格式 Char"/>
    <w:link w:val="48"/>
    <w:uiPriority w:val="0"/>
    <w:rPr>
      <w:rFonts w:ascii="Courier New" w:hAnsi="Courier New"/>
      <w:kern w:val="2"/>
    </w:rPr>
  </w:style>
  <w:style w:type="character" w:customStyle="1" w:styleId="322">
    <w:name w:val="ft-hanggao"/>
    <w:uiPriority w:val="0"/>
  </w:style>
  <w:style w:type="character" w:customStyle="1" w:styleId="323">
    <w:name w:val="正文（首行缩进两字） Char Char1 Char Char Char Cha"/>
    <w:uiPriority w:val="0"/>
    <w:rPr>
      <w:rFonts w:ascii="仿宋_GB2312" w:eastAsia="仿宋_GB2312"/>
      <w:color w:val="000000"/>
      <w:kern w:val="2"/>
      <w:sz w:val="28"/>
      <w:szCs w:val="24"/>
      <w:lang w:val="en-US" w:eastAsia="zh-CN" w:bidi="ar-SA"/>
    </w:rPr>
  </w:style>
  <w:style w:type="character" w:customStyle="1" w:styleId="324">
    <w:name w:val="正文（首行缩进两字） Char Char1 Char"/>
    <w:uiPriority w:val="0"/>
    <w:rPr>
      <w:rFonts w:ascii="仿宋_GB2312" w:eastAsia="仿宋_GB2312"/>
      <w:color w:val="000000"/>
      <w:kern w:val="2"/>
      <w:sz w:val="28"/>
      <w:szCs w:val="24"/>
      <w:lang w:val="en-US" w:eastAsia="zh-CN" w:bidi="ar-SA"/>
    </w:rPr>
  </w:style>
  <w:style w:type="character" w:customStyle="1" w:styleId="325">
    <w:name w:val="正文（首行缩进两字） Char Char Char Char Char Char Char Char Char Char"/>
    <w:uiPriority w:val="0"/>
    <w:rPr>
      <w:rFonts w:ascii="仿宋_GB2312" w:eastAsia="仿宋_GB2312"/>
      <w:kern w:val="2"/>
      <w:sz w:val="28"/>
      <w:szCs w:val="24"/>
      <w:lang w:val="en-US" w:eastAsia="zh-CN" w:bidi="ar-SA"/>
    </w:rPr>
  </w:style>
  <w:style w:type="character" w:customStyle="1" w:styleId="326">
    <w:name w:val="lh151"/>
    <w:uiPriority w:val="0"/>
  </w:style>
  <w:style w:type="character" w:customStyle="1" w:styleId="327">
    <w:name w:val="unnamed11"/>
    <w:uiPriority w:val="0"/>
    <w:rPr>
      <w:rFonts w:hint="eastAsia" w:ascii="宋体" w:hAnsi="宋体" w:eastAsia="宋体"/>
      <w:color w:val="000000"/>
      <w:sz w:val="18"/>
      <w:szCs w:val="18"/>
    </w:rPr>
  </w:style>
  <w:style w:type="character" w:customStyle="1" w:styleId="328">
    <w:name w:val="a51"/>
    <w:uiPriority w:val="0"/>
    <w:rPr>
      <w:color w:val="000000"/>
      <w:sz w:val="18"/>
      <w:szCs w:val="18"/>
      <w:u w:val="none"/>
    </w:rPr>
  </w:style>
  <w:style w:type="character" w:customStyle="1" w:styleId="329">
    <w:name w:val="正文（首行缩进两字） Char Char Char Char Char Char Char Char Char Char Char Char Char Char Char Char Char Char Char Char Char Char Char Char C"/>
    <w:uiPriority w:val="0"/>
    <w:rPr>
      <w:rFonts w:ascii="仿宋_GB2312" w:hAnsi="Arial Black" w:eastAsia="仿宋_GB2312"/>
      <w:kern w:val="2"/>
      <w:sz w:val="28"/>
      <w:lang w:val="en-US" w:eastAsia="zh-CN" w:bidi="ar-SA"/>
    </w:rPr>
  </w:style>
  <w:style w:type="character" w:customStyle="1" w:styleId="330">
    <w:name w:val="s4 Cha"/>
    <w:uiPriority w:val="0"/>
    <w:rPr>
      <w:rFonts w:ascii="仿宋_GB2312" w:eastAsia="仿宋_GB2312"/>
      <w:kern w:val="2"/>
      <w:sz w:val="28"/>
      <w:szCs w:val="24"/>
      <w:lang w:val="en-US" w:eastAsia="zh-CN" w:bidi="ar-SA"/>
    </w:rPr>
  </w:style>
  <w:style w:type="character" w:customStyle="1" w:styleId="331">
    <w:name w:val="px14"/>
    <w:uiPriority w:val="0"/>
  </w:style>
  <w:style w:type="character" w:customStyle="1" w:styleId="332">
    <w:name w:val="表蕊居中 Char"/>
    <w:link w:val="234"/>
    <w:uiPriority w:val="0"/>
    <w:rPr>
      <w:rFonts w:eastAsia="仿宋_GB2312"/>
      <w:iCs/>
      <w:color w:val="000000"/>
      <w:kern w:val="2"/>
      <w:sz w:val="22"/>
      <w:szCs w:val="22"/>
    </w:rPr>
  </w:style>
  <w:style w:type="character" w:customStyle="1" w:styleId="333">
    <w:name w:val="正式用 图表名称 Char"/>
    <w:link w:val="239"/>
    <w:uiPriority w:val="0"/>
    <w:rPr>
      <w:color w:val="000000"/>
      <w:kern w:val="2"/>
      <w:sz w:val="21"/>
      <w:szCs w:val="21"/>
      <w:lang w:bidi="ar-SA"/>
    </w:rPr>
  </w:style>
  <w:style w:type="character" w:customStyle="1" w:styleId="334">
    <w:name w:val="注释标题 Char"/>
    <w:link w:val="17"/>
    <w:uiPriority w:val="0"/>
    <w:rPr>
      <w:kern w:val="2"/>
      <w:sz w:val="21"/>
    </w:rPr>
  </w:style>
  <w:style w:type="character" w:customStyle="1" w:styleId="335">
    <w:name w:val="文本正文 Char"/>
    <w:link w:val="240"/>
    <w:uiPriority w:val="0"/>
    <w:rPr>
      <w:rFonts w:ascii="宋体"/>
      <w:spacing w:val="4"/>
      <w:kern w:val="24"/>
      <w:sz w:val="24"/>
      <w:szCs w:val="24"/>
      <w:lang w:val="zh-CN"/>
    </w:rPr>
  </w:style>
  <w:style w:type="character" w:customStyle="1" w:styleId="336">
    <w:name w:val="f12_0000_1"/>
    <w:uiPriority w:val="0"/>
  </w:style>
  <w:style w:type="character" w:customStyle="1" w:styleId="337">
    <w:name w:val="title9"/>
    <w:uiPriority w:val="0"/>
  </w:style>
  <w:style w:type="character" w:customStyle="1" w:styleId="338">
    <w:name w:val="文档结构图 Char"/>
    <w:link w:val="21"/>
    <w:semiHidden/>
    <w:uiPriority w:val="99"/>
    <w:rPr>
      <w:kern w:val="2"/>
      <w:sz w:val="21"/>
      <w:szCs w:val="24"/>
      <w:shd w:val="clear" w:color="auto" w:fill="000080"/>
    </w:rPr>
  </w:style>
  <w:style w:type="character" w:customStyle="1" w:styleId="339">
    <w:name w:val="批注主题 Char"/>
    <w:link w:val="12"/>
    <w:semiHidden/>
    <w:uiPriority w:val="99"/>
    <w:rPr>
      <w:b/>
      <w:bCs/>
      <w:kern w:val="2"/>
      <w:sz w:val="21"/>
      <w:szCs w:val="24"/>
    </w:rPr>
  </w:style>
  <w:style w:type="character" w:customStyle="1" w:styleId="340">
    <w:name w:val="批注框文本 Char"/>
    <w:link w:val="34"/>
    <w:semiHidden/>
    <w:uiPriority w:val="99"/>
    <w:rPr>
      <w:kern w:val="2"/>
      <w:sz w:val="18"/>
      <w:szCs w:val="18"/>
    </w:rPr>
  </w:style>
  <w:style w:type="character" w:customStyle="1" w:styleId="341">
    <w:name w:val="表中文字 Char1"/>
    <w:link w:val="260"/>
    <w:locked/>
    <w:uiPriority w:val="0"/>
    <w:rPr>
      <w:kern w:val="2"/>
      <w:sz w:val="21"/>
    </w:rPr>
  </w:style>
  <w:style w:type="character" w:customStyle="1" w:styleId="342">
    <w:name w:val="font101"/>
    <w:uiPriority w:val="0"/>
    <w:rPr>
      <w:rFonts w:hint="eastAsia" w:ascii="宋体" w:hAnsi="宋体" w:eastAsia="宋体" w:cs="宋体"/>
      <w:color w:val="000000"/>
      <w:sz w:val="20"/>
      <w:szCs w:val="20"/>
      <w:u w:val="none"/>
    </w:rPr>
  </w:style>
  <w:style w:type="character" w:customStyle="1" w:styleId="343">
    <w:name w:val="font31"/>
    <w:uiPriority w:val="0"/>
    <w:rPr>
      <w:rFonts w:hint="eastAsia" w:ascii="宋体" w:hAnsi="宋体" w:eastAsia="宋体" w:cs="宋体"/>
      <w:color w:val="0000FF"/>
      <w:sz w:val="21"/>
      <w:szCs w:val="21"/>
      <w:u w:val="none"/>
      <w:vertAlign w:val="subscript"/>
    </w:rPr>
  </w:style>
  <w:style w:type="character" w:customStyle="1" w:styleId="344">
    <w:name w:val="font21"/>
    <w:uiPriority w:val="0"/>
    <w:rPr>
      <w:rFonts w:hint="eastAsia" w:ascii="宋体" w:hAnsi="宋体" w:eastAsia="宋体" w:cs="宋体"/>
      <w:color w:val="0000FF"/>
      <w:sz w:val="21"/>
      <w:szCs w:val="21"/>
      <w:u w:val="none"/>
      <w:vertAlign w:val="subscript"/>
    </w:rPr>
  </w:style>
  <w:style w:type="character" w:customStyle="1" w:styleId="345">
    <w:name w:val="font81"/>
    <w:uiPriority w:val="0"/>
    <w:rPr>
      <w:rFonts w:hint="eastAsia" w:ascii="宋体" w:hAnsi="宋体" w:eastAsia="宋体" w:cs="宋体"/>
      <w:color w:val="000000"/>
      <w:sz w:val="20"/>
      <w:szCs w:val="20"/>
      <w:u w:val="none"/>
    </w:rPr>
  </w:style>
  <w:style w:type="character" w:customStyle="1" w:styleId="346">
    <w:name w:val="font01"/>
    <w:uiPriority w:val="0"/>
    <w:rPr>
      <w:rFonts w:hint="eastAsia" w:ascii="宋体" w:hAnsi="宋体" w:eastAsia="宋体" w:cs="宋体"/>
      <w:b/>
      <w:color w:val="000000"/>
      <w:sz w:val="18"/>
      <w:szCs w:val="18"/>
      <w:u w:val="none"/>
    </w:rPr>
  </w:style>
  <w:style w:type="character" w:customStyle="1" w:styleId="347">
    <w:name w:val="font51"/>
    <w:uiPriority w:val="0"/>
    <w:rPr>
      <w:rFonts w:hint="eastAsia" w:ascii="Malgun Gothic" w:hAnsi="Malgun Gothic" w:eastAsia="Malgun Gothic" w:cs="Malgun Gothic"/>
      <w:b/>
      <w:color w:val="000000"/>
      <w:sz w:val="18"/>
      <w:szCs w:val="18"/>
      <w:u w:val="none"/>
    </w:rPr>
  </w:style>
  <w:style w:type="character" w:customStyle="1" w:styleId="348">
    <w:name w:val="font41"/>
    <w:uiPriority w:val="0"/>
    <w:rPr>
      <w:rFonts w:hint="eastAsia" w:ascii="Malgun Gothic" w:hAnsi="Malgun Gothic" w:eastAsia="Malgun Gothic" w:cs="Malgun Gothic"/>
      <w:b/>
      <w:color w:val="000000"/>
      <w:sz w:val="18"/>
      <w:szCs w:val="18"/>
      <w:u w:val="none"/>
    </w:rPr>
  </w:style>
  <w:style w:type="character" w:customStyle="1" w:styleId="349">
    <w:name w:val="font11"/>
    <w:uiPriority w:val="0"/>
    <w:rPr>
      <w:rFonts w:hint="eastAsia" w:ascii="宋体" w:hAnsi="宋体" w:eastAsia="宋体" w:cs="宋体"/>
      <w:color w:val="0000FF"/>
      <w:sz w:val="21"/>
      <w:szCs w:val="21"/>
      <w:u w:val="none"/>
    </w:rPr>
  </w:style>
  <w:style w:type="character" w:customStyle="1" w:styleId="350">
    <w:name w:val="正文文本 Char1"/>
    <w:semiHidden/>
    <w:locked/>
    <w:uiPriority w:val="99"/>
    <w:rPr>
      <w:kern w:val="2"/>
      <w:sz w:val="21"/>
    </w:rPr>
  </w:style>
  <w:style w:type="character" w:customStyle="1" w:styleId="351">
    <w:name w:val="批注文字 Char1"/>
    <w:semiHidden/>
    <w:locked/>
    <w:uiPriority w:val="99"/>
    <w:rPr>
      <w:kern w:val="2"/>
      <w:sz w:val="21"/>
    </w:rPr>
  </w:style>
  <w:style w:type="character" w:customStyle="1" w:styleId="352">
    <w:name w:val="批注主题 Char1"/>
    <w:semiHidden/>
    <w:uiPriority w:val="99"/>
    <w:rPr>
      <w:b/>
      <w:bCs/>
      <w:kern w:val="2"/>
      <w:sz w:val="21"/>
    </w:rPr>
  </w:style>
  <w:style w:type="character" w:customStyle="1" w:styleId="353">
    <w:name w:val="页脚 Char1"/>
    <w:semiHidden/>
    <w:uiPriority w:val="99"/>
    <w:rPr>
      <w:rFonts w:hint="eastAsia" w:ascii="宋体" w:hAnsi="宋体" w:eastAsia="宋体" w:cs="宋体"/>
      <w:kern w:val="2"/>
      <w:sz w:val="18"/>
      <w:szCs w:val="18"/>
    </w:rPr>
  </w:style>
  <w:style w:type="table" w:customStyle="1" w:styleId="354">
    <w:name w:val="环评表格"/>
    <w:basedOn w:val="61"/>
    <w:uiPriority w:val="0"/>
    <w:pPr>
      <w:jc w:val="center"/>
    </w:pPr>
    <w:tblPr>
      <w:tblStyle w:val="59"/>
      <w:tblBorders>
        <w:top w:val="single" w:color="auto" w:sz="12" w:space="0"/>
        <w:bottom w:val="single" w:color="auto" w:sz="12" w:space="0"/>
        <w:insideH w:val="single" w:color="auto" w:sz="4" w:space="0"/>
        <w:insideV w:val="single" w:color="auto" w:sz="4" w:space="0"/>
      </w:tblBorders>
      <w:tblLayout w:type="fixed"/>
    </w:tblPr>
    <w:tcPr>
      <w:textDirection w:val="lrTb"/>
      <w:vAlign w:val="center"/>
    </w:tc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3" Type="http://schemas.openxmlformats.org/officeDocument/2006/relationships/fontTable" Target="fontTable.xml"/><Relationship Id="rId62" Type="http://schemas.openxmlformats.org/officeDocument/2006/relationships/numbering" Target="numbering.xml"/><Relationship Id="rId61" Type="http://schemas.openxmlformats.org/officeDocument/2006/relationships/customXml" Target="../customXml/item1.xml"/><Relationship Id="rId60" Type="http://schemas.openxmlformats.org/officeDocument/2006/relationships/image" Target="media/image37.jpeg"/><Relationship Id="rId6" Type="http://schemas.openxmlformats.org/officeDocument/2006/relationships/theme" Target="theme/theme1.xml"/><Relationship Id="rId59" Type="http://schemas.openxmlformats.org/officeDocument/2006/relationships/image" Target="media/image36.wmf"/><Relationship Id="rId58" Type="http://schemas.openxmlformats.org/officeDocument/2006/relationships/image" Target="media/image35.wmf"/><Relationship Id="rId57" Type="http://schemas.openxmlformats.org/officeDocument/2006/relationships/image" Target="media/image34.wmf"/><Relationship Id="rId56" Type="http://schemas.openxmlformats.org/officeDocument/2006/relationships/image" Target="media/image33.wmf"/><Relationship Id="rId55" Type="http://schemas.openxmlformats.org/officeDocument/2006/relationships/image" Target="media/image32.wmf"/><Relationship Id="rId54" Type="http://schemas.openxmlformats.org/officeDocument/2006/relationships/image" Target="media/image31.wmf"/><Relationship Id="rId53" Type="http://schemas.openxmlformats.org/officeDocument/2006/relationships/image" Target="media/image30.wmf"/><Relationship Id="rId52" Type="http://schemas.openxmlformats.org/officeDocument/2006/relationships/image" Target="media/image29.wmf"/><Relationship Id="rId51" Type="http://schemas.openxmlformats.org/officeDocument/2006/relationships/image" Target="media/image28.wmf"/><Relationship Id="rId50" Type="http://schemas.openxmlformats.org/officeDocument/2006/relationships/image" Target="media/image27.wmf"/><Relationship Id="rId5" Type="http://schemas.openxmlformats.org/officeDocument/2006/relationships/footer" Target="footer2.xml"/><Relationship Id="rId49" Type="http://schemas.openxmlformats.org/officeDocument/2006/relationships/image" Target="media/image26.wmf"/><Relationship Id="rId48" Type="http://schemas.openxmlformats.org/officeDocument/2006/relationships/image" Target="media/image25.wmf"/><Relationship Id="rId47" Type="http://schemas.openxmlformats.org/officeDocument/2006/relationships/image" Target="media/image24.wmf"/><Relationship Id="rId46" Type="http://schemas.openxmlformats.org/officeDocument/2006/relationships/image" Target="media/image23.wmf"/><Relationship Id="rId45" Type="http://schemas.openxmlformats.org/officeDocument/2006/relationships/image" Target="media/image22.wmf"/><Relationship Id="rId44" Type="http://schemas.openxmlformats.org/officeDocument/2006/relationships/image" Target="media/image21.wmf"/><Relationship Id="rId43" Type="http://schemas.openxmlformats.org/officeDocument/2006/relationships/image" Target="media/image20.wmf"/><Relationship Id="rId42" Type="http://schemas.openxmlformats.org/officeDocument/2006/relationships/image" Target="media/image19.wmf"/><Relationship Id="rId41" Type="http://schemas.openxmlformats.org/officeDocument/2006/relationships/image" Target="media/image18.wmf"/><Relationship Id="rId40" Type="http://schemas.openxmlformats.org/officeDocument/2006/relationships/oleObject" Target="embeddings/oleObject17.bin"/><Relationship Id="rId4" Type="http://schemas.openxmlformats.org/officeDocument/2006/relationships/footer" Target="footer1.xml"/><Relationship Id="rId39" Type="http://schemas.openxmlformats.org/officeDocument/2006/relationships/image" Target="media/image17.wmf"/><Relationship Id="rId38" Type="http://schemas.openxmlformats.org/officeDocument/2006/relationships/oleObject" Target="embeddings/oleObject16.bin"/><Relationship Id="rId37" Type="http://schemas.openxmlformats.org/officeDocument/2006/relationships/image" Target="media/image16.wmf"/><Relationship Id="rId36" Type="http://schemas.openxmlformats.org/officeDocument/2006/relationships/oleObject" Target="embeddings/oleObject15.bin"/><Relationship Id="rId35" Type="http://schemas.openxmlformats.org/officeDocument/2006/relationships/image" Target="media/image15.wmf"/><Relationship Id="rId34" Type="http://schemas.openxmlformats.org/officeDocument/2006/relationships/oleObject" Target="embeddings/oleObject14.bin"/><Relationship Id="rId33" Type="http://schemas.openxmlformats.org/officeDocument/2006/relationships/image" Target="media/image14.wmf"/><Relationship Id="rId32" Type="http://schemas.openxmlformats.org/officeDocument/2006/relationships/oleObject" Target="embeddings/oleObject13.bin"/><Relationship Id="rId31" Type="http://schemas.openxmlformats.org/officeDocument/2006/relationships/image" Target="media/image13.wmf"/><Relationship Id="rId30" Type="http://schemas.openxmlformats.org/officeDocument/2006/relationships/oleObject" Target="embeddings/oleObject12.bin"/><Relationship Id="rId3" Type="http://schemas.openxmlformats.org/officeDocument/2006/relationships/header" Target="header1.xml"/><Relationship Id="rId29" Type="http://schemas.openxmlformats.org/officeDocument/2006/relationships/image" Target="media/image12.wmf"/><Relationship Id="rId28" Type="http://schemas.openxmlformats.org/officeDocument/2006/relationships/oleObject" Target="embeddings/oleObject11.bin"/><Relationship Id="rId27" Type="http://schemas.openxmlformats.org/officeDocument/2006/relationships/image" Target="media/image11.wmf"/><Relationship Id="rId26" Type="http://schemas.openxmlformats.org/officeDocument/2006/relationships/oleObject" Target="embeddings/oleObject10.bin"/><Relationship Id="rId25" Type="http://schemas.openxmlformats.org/officeDocument/2006/relationships/image" Target="media/image10.wmf"/><Relationship Id="rId24" Type="http://schemas.openxmlformats.org/officeDocument/2006/relationships/oleObject" Target="embeddings/oleObject9.bin"/><Relationship Id="rId23" Type="http://schemas.openxmlformats.org/officeDocument/2006/relationships/image" Target="media/image9.wmf"/><Relationship Id="rId22" Type="http://schemas.openxmlformats.org/officeDocument/2006/relationships/oleObject" Target="embeddings/oleObject8.bin"/><Relationship Id="rId21" Type="http://schemas.openxmlformats.org/officeDocument/2006/relationships/image" Target="media/image8.wmf"/><Relationship Id="rId20" Type="http://schemas.openxmlformats.org/officeDocument/2006/relationships/oleObject" Target="embeddings/oleObject7.bin"/><Relationship Id="rId2" Type="http://schemas.openxmlformats.org/officeDocument/2006/relationships/settings" Target="settings.xml"/><Relationship Id="rId19" Type="http://schemas.openxmlformats.org/officeDocument/2006/relationships/image" Target="media/image7.wmf"/><Relationship Id="rId18" Type="http://schemas.openxmlformats.org/officeDocument/2006/relationships/oleObject" Target="embeddings/oleObject6.bin"/><Relationship Id="rId17" Type="http://schemas.openxmlformats.org/officeDocument/2006/relationships/image" Target="media/image6.wmf"/><Relationship Id="rId16" Type="http://schemas.openxmlformats.org/officeDocument/2006/relationships/oleObject" Target="embeddings/oleObject5.bin"/><Relationship Id="rId15" Type="http://schemas.openxmlformats.org/officeDocument/2006/relationships/image" Target="media/image5.wmf"/><Relationship Id="rId14" Type="http://schemas.openxmlformats.org/officeDocument/2006/relationships/oleObject" Target="embeddings/oleObject4.bin"/><Relationship Id="rId13" Type="http://schemas.openxmlformats.org/officeDocument/2006/relationships/image" Target="media/image4.emf"/><Relationship Id="rId12" Type="http://schemas.openxmlformats.org/officeDocument/2006/relationships/oleObject" Target="embeddings/oleObject3.bin"/><Relationship Id="rId11" Type="http://schemas.openxmlformats.org/officeDocument/2006/relationships/image" Target="media/image3.emf"/><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WwW.YlmF.CoM</Company>
  <Pages>53</Pages>
  <Words>6173</Words>
  <Characters>35192</Characters>
  <Lines>293</Lines>
  <Paragraphs>82</Paragraphs>
  <ScaleCrop>false</ScaleCrop>
  <LinksUpToDate>false</LinksUpToDate>
  <CharactersWithSpaces>41283</CharactersWithSpaces>
  <Application>WPS Office_10.1.0.5346_F1E327BC-269C-435d-A152-05C5408002CA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2010-02-07T07:18:00Z</dcterms:created>
  <dc:creator>YlmF</dc:creator>
  <cp:lastModifiedBy>cmw</cp:lastModifiedBy>
  <cp:lastPrinted>2015-11-19T05:26:00Z</cp:lastPrinted>
  <dcterms:modified xsi:type="dcterms:W3CDTF">2015-11-20T02:58:09Z</dcterms:modified>
  <dc:title>年产300台1</dc:title>
  <cp:revision>97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2052-10.1.0.5346</vt:lpwstr>
  </property>
</Properties>
</file>